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5994" w14:textId="77777777" w:rsidR="00255DFC" w:rsidRPr="006E7BE1" w:rsidRDefault="00255DFC" w:rsidP="00255DFC">
      <w:pPr>
        <w:pStyle w:val="Nagwek1"/>
        <w:spacing w:after="120" w:line="360" w:lineRule="auto"/>
        <w:jc w:val="both"/>
        <w:rPr>
          <w:color w:val="345892"/>
          <w:sz w:val="28"/>
          <w:szCs w:val="28"/>
        </w:rPr>
      </w:pPr>
      <w:r w:rsidRPr="006E7BE1">
        <w:rPr>
          <w:color w:val="345892"/>
          <w:sz w:val="28"/>
          <w:szCs w:val="28"/>
        </w:rPr>
        <w:t>WERSJA DLA SEKTORA PUBLICZNEGO: CHECKLISTA RODO DLA AI</w:t>
      </w:r>
    </w:p>
    <w:p w14:paraId="36D60BC9" w14:textId="77777777" w:rsidR="00831B07" w:rsidRPr="0072279D" w:rsidRDefault="00831B07" w:rsidP="00255DFC">
      <w:pPr>
        <w:spacing w:after="40"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3ECBFC59" w14:textId="0E06D2EA" w:rsidR="00255DFC" w:rsidRPr="006E7BE1" w:rsidRDefault="00255DFC" w:rsidP="00255DFC">
      <w:pPr>
        <w:spacing w:after="4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Poziom: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>wejściowy – lista samodzielna, niezależna od pozostałych</w:t>
      </w:r>
    </w:p>
    <w:p w14:paraId="329CAA1D" w14:textId="77777777" w:rsidR="00255DFC" w:rsidRPr="006E7BE1" w:rsidRDefault="00255DFC" w:rsidP="00255DFC">
      <w:pPr>
        <w:spacing w:after="4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Podstawa: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 xml:space="preserve">RODO </w:t>
      </w:r>
    </w:p>
    <w:p w14:paraId="3F36F4D3" w14:textId="77777777" w:rsidR="00255DFC" w:rsidRPr="006E7BE1" w:rsidRDefault="00255DFC" w:rsidP="00255DFC">
      <w:pPr>
        <w:spacing w:after="4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Dla kogo: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>jednostki samorządu terytorialnego, urzędy administracji publicznej i inne podmioty realizujące zadania publiczne</w:t>
      </w:r>
    </w:p>
    <w:p w14:paraId="3A5B17C6" w14:textId="77777777" w:rsidR="00255DFC" w:rsidRPr="006E7BE1" w:rsidRDefault="00255DFC" w:rsidP="00255DFC">
      <w:pPr>
        <w:spacing w:after="4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Cel: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>ustalić dopuszczalność wykorzystania AI w danym procesie oraz zakres obowiązków wobec obywateli</w:t>
      </w:r>
    </w:p>
    <w:p w14:paraId="53ABC798" w14:textId="77777777" w:rsidR="00255DFC" w:rsidRPr="006E7BE1" w:rsidRDefault="00255DFC" w:rsidP="00255DFC">
      <w:pPr>
        <w:spacing w:after="4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Moment: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>etap koncepcji i wyboru narzędzia, przed zakupem lub rozpoczęciem prac</w:t>
      </w:r>
    </w:p>
    <w:p w14:paraId="0014E2B2" w14:textId="575CDF2E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Kiedy stosować: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 xml:space="preserve">przy każdym wdrożeniu systemu AI w jednostce, odrębnie dla każdego rodzaju spraw. Przejście do Wersji Rozszerzonej jest konieczne, gdy jednostka buduje lub </w:t>
      </w:r>
      <w:proofErr w:type="spellStart"/>
      <w:r w:rsidRPr="006E7BE1">
        <w:rPr>
          <w:rFonts w:ascii="Arial" w:hAnsi="Arial" w:cs="Arial"/>
          <w:color w:val="000000" w:themeColor="text1"/>
          <w:sz w:val="24"/>
          <w:szCs w:val="24"/>
        </w:rPr>
        <w:t>dotrenowuje</w:t>
      </w:r>
      <w:proofErr w:type="spellEnd"/>
      <w:r w:rsidRPr="006E7BE1">
        <w:rPr>
          <w:rFonts w:ascii="Arial" w:hAnsi="Arial" w:cs="Arial"/>
          <w:color w:val="000000" w:themeColor="text1"/>
          <w:sz w:val="24"/>
          <w:szCs w:val="24"/>
        </w:rPr>
        <w:t xml:space="preserve"> model, gdy system wpływa na sytuację prawną obywateli, gdy przetwarzane są dane szczególnych kategorii lub dane dzieci, gdy dane są przekazywane poza EOG albo gdy system może być systemem wysokiego ryzyka; w sektorze publicznym przesłanki te spełnia znaczna część wdrożeń, ponieważ wiele zastosowań publicznych mieści się w załączniku III do AI </w:t>
      </w:r>
      <w:proofErr w:type="spellStart"/>
      <w:r w:rsidRPr="006E7BE1">
        <w:rPr>
          <w:rFonts w:ascii="Arial" w:hAnsi="Arial" w:cs="Arial"/>
          <w:color w:val="000000" w:themeColor="text1"/>
          <w:sz w:val="24"/>
          <w:szCs w:val="24"/>
        </w:rPr>
        <w:t>Act</w:t>
      </w:r>
      <w:proofErr w:type="spellEnd"/>
    </w:p>
    <w:p w14:paraId="3C497D4A" w14:textId="77777777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Wynik: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 xml:space="preserve">decyzja o dopuszczalności wdrożenia, materiał do dokumentacji postępowania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br/>
        <w:t>o wdrożenie systemu oraz decyzja czy konieczne jest przejście do Wersji Rozszerzonej</w:t>
      </w:r>
    </w:p>
    <w:p w14:paraId="6A584351" w14:textId="672F21ED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E7B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Podejście funkcjonalne: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t xml:space="preserve">pytania projektowe (P) dostarczają wiedzy o systemie, pytania o zgodność (Z) weryfikują wymogi RODO, oznaczenie P/Z łączy oba aspekty, </w:t>
      </w:r>
      <w:r w:rsidRPr="006E7BE1">
        <w:rPr>
          <w:rFonts w:ascii="Arial" w:hAnsi="Arial" w:cs="Arial"/>
          <w:color w:val="000000" w:themeColor="text1"/>
          <w:sz w:val="24"/>
          <w:szCs w:val="24"/>
        </w:rPr>
        <w:br/>
        <w:t>z uwzględnieniem specyfiki sektora publicznego</w:t>
      </w:r>
    </w:p>
    <w:p w14:paraId="16355CD0" w14:textId="77777777" w:rsidR="00CE293C" w:rsidRPr="0060083C" w:rsidRDefault="00CE293C" w:rsidP="00255DFC">
      <w:pPr>
        <w:spacing w:after="120" w:line="360" w:lineRule="auto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14:paraId="571B742F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b/>
          <w:bCs/>
          <w:color w:val="2C5F8A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Założenia metodologiczne</w:t>
      </w:r>
    </w:p>
    <w:p w14:paraId="53450F48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Podejście funkcjonalne</w:t>
      </w:r>
    </w:p>
    <w:p w14:paraId="1B681FB1" w14:textId="77777777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t>Lista łączy dwa uzupełniające się rodzaje pytań. Pytania projektowe (P) identyfikują cel, charakter i kontekst wdrożenia AI, dostawcę, dane oraz gotowość organizacyjną – dostarczają wiedzy niezbędnej do oceny zgodności. Pytania o zgodność (Z) weryfikują spełnienie konkretnych wymogów RODO, w szczególności podstawę prawną, prawa osób, obowiązki informacyjne, ocenę skutków dla ochrony danych, uwzględnianie ochrony danych w fazie projektowania i powierzenie przetwarzania. Oznaczenie P/Z wskazuje pytanie łączące oba aspekty.</w:t>
      </w:r>
    </w:p>
    <w:p w14:paraId="04947750" w14:textId="183657A1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lastRenderedPageBreak/>
        <w:t>Oba rodzaje pytań są ze sobą powiązane: pytanie projektowe „Jakie dane przetwarza system?” jest warunkiem wstępnym dla pytania o zgodność „Czy istnieje podstawa prawna przetwarzania tych danych?”. Struktura listy odzwierciedla ten związek.</w:t>
      </w:r>
    </w:p>
    <w:p w14:paraId="77CC7A93" w14:textId="77777777" w:rsidR="00CE293C" w:rsidRPr="006E7BE1" w:rsidRDefault="00CE293C" w:rsidP="00255DFC">
      <w:pPr>
        <w:spacing w:after="120" w:line="360" w:lineRule="auto"/>
        <w:jc w:val="both"/>
        <w:rPr>
          <w:rFonts w:ascii="Arial" w:hAnsi="Arial" w:cs="Arial"/>
          <w:sz w:val="8"/>
          <w:szCs w:val="8"/>
        </w:rPr>
      </w:pPr>
    </w:p>
    <w:p w14:paraId="17EE3E1B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Fazy cyklu życia systemu AI</w:t>
      </w:r>
    </w:p>
    <w:p w14:paraId="29D144B0" w14:textId="77777777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t>Każde pytanie oznaczono symbolem fazy, w której ma ono znaczenie: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800"/>
        <w:gridCol w:w="5638"/>
      </w:tblGrid>
      <w:tr w:rsidR="00255DFC" w:rsidRPr="006E7BE1" w14:paraId="67A78357" w14:textId="77777777" w:rsidTr="002B4C9B"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4D439" w14:textId="77777777" w:rsidR="00255DFC" w:rsidRPr="006E7BE1" w:rsidRDefault="00255DFC" w:rsidP="002B4C9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Symbol</w:t>
            </w:r>
          </w:p>
        </w:tc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8E8910" w14:textId="77777777" w:rsidR="00255DFC" w:rsidRPr="006E7BE1" w:rsidRDefault="00255DFC" w:rsidP="002B4C9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Faza</w:t>
            </w:r>
          </w:p>
        </w:tc>
        <w:tc>
          <w:tcPr>
            <w:tcW w:w="56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2D1C68" w14:textId="77777777" w:rsidR="00255DFC" w:rsidRPr="006E7BE1" w:rsidRDefault="00255DFC" w:rsidP="002B4C9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Opis</w:t>
            </w:r>
          </w:p>
        </w:tc>
      </w:tr>
      <w:tr w:rsidR="00255DFC" w:rsidRPr="006E7BE1" w14:paraId="7796C0F3" w14:textId="77777777" w:rsidTr="002B4C9B"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3F2FD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69E56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[T]</w:t>
            </w:r>
          </w:p>
        </w:tc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D51B24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Trenowanie / Rozwój</w:t>
            </w:r>
          </w:p>
        </w:tc>
        <w:tc>
          <w:tcPr>
            <w:tcW w:w="56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EFC02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Opracowywanie i trenowanie modelu AI: dane treningowe, budowa modelu, testowanie.</w:t>
            </w:r>
          </w:p>
        </w:tc>
      </w:tr>
      <w:tr w:rsidR="00255DFC" w:rsidRPr="006E7BE1" w14:paraId="6C05A893" w14:textId="77777777" w:rsidTr="002B4C9B"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F5E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51D84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[W]</w:t>
            </w:r>
          </w:p>
        </w:tc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FA38E1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Wdrożenie / Użycie</w:t>
            </w:r>
          </w:p>
        </w:tc>
        <w:tc>
          <w:tcPr>
            <w:tcW w:w="56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4E72E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Wdrażanie gotowego systemu AI bez trenowania: konfiguracja, integracja, codzienne użycie.</w:t>
            </w:r>
          </w:p>
        </w:tc>
      </w:tr>
      <w:tr w:rsidR="00255DFC" w:rsidRPr="006E7BE1" w14:paraId="6066EFE7" w14:textId="77777777" w:rsidTr="002B4C9B">
        <w:trPr>
          <w:trHeight w:val="57"/>
        </w:trPr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0F994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[T+W]</w:t>
            </w:r>
          </w:p>
        </w:tc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36513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sz w:val="24"/>
                <w:szCs w:val="24"/>
              </w:rPr>
              <w:t>Obie fazy</w:t>
            </w:r>
          </w:p>
        </w:tc>
        <w:tc>
          <w:tcPr>
            <w:tcW w:w="56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98098" w14:textId="77777777" w:rsidR="00255DFC" w:rsidRPr="006E7BE1" w:rsidRDefault="00255DFC" w:rsidP="002B4C9B">
            <w:pPr>
              <w:spacing w:after="40"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Kwestie wspólne: role RODO, rejestr czynności przetwarzania, IOD, data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 by design/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default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>, DPIA, bezpieczeństwo.</w:t>
            </w:r>
          </w:p>
        </w:tc>
      </w:tr>
    </w:tbl>
    <w:p w14:paraId="680E62F5" w14:textId="77777777" w:rsidR="00255DFC" w:rsidRPr="006E7BE1" w:rsidRDefault="00255DFC" w:rsidP="00255DFC">
      <w:pPr>
        <w:spacing w:after="200" w:line="360" w:lineRule="auto"/>
        <w:jc w:val="both"/>
        <w:rPr>
          <w:rFonts w:ascii="Arial" w:hAnsi="Arial" w:cs="Arial"/>
          <w:sz w:val="24"/>
          <w:szCs w:val="24"/>
        </w:rPr>
      </w:pPr>
    </w:p>
    <w:p w14:paraId="0AF73C61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Pytania wstępne o zasadność wdrożenia</w:t>
      </w:r>
    </w:p>
    <w:p w14:paraId="49D413E1" w14:textId="6CA8CDCC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t>Lista rozpoczyna się od pytań o zasadność wdrożenia systemu AI. Pozwalają one ustalić, czy korzyści z budowy lub wdrożenia systemu przewyższają związane z nim ryzyka. Dotyczą w szczególności adekwatności AI do natury rozwiązywanego problemu, zdolności systemu do spełnienia potrzeb organizacji, sprawiedliwości wpływu systemu na różne grupy osób, jakości i reprezentatywności dostępnych danych, wystarczalności zasobów ludzkich i materialnych oraz ryzyka użycia systemu poza jego przeznaczeniem.</w:t>
      </w:r>
    </w:p>
    <w:p w14:paraId="680B72E1" w14:textId="7A87575B" w:rsidR="00255DFC" w:rsidRPr="006E7BE1" w:rsidRDefault="00255DFC" w:rsidP="00255DF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t>Pytania te pełnią funkcję komplementarną wobec pytań o zgodność - ustalają kontekst decyzyjny, z którego wynikają konsekwencje zarówno projektowe, jak i regulacyjne.</w:t>
      </w:r>
    </w:p>
    <w:p w14:paraId="352F24F0" w14:textId="77777777" w:rsidR="00CE293C" w:rsidRPr="0072279D" w:rsidRDefault="00CE293C" w:rsidP="00255DFC">
      <w:pPr>
        <w:spacing w:after="120" w:line="360" w:lineRule="auto"/>
        <w:jc w:val="both"/>
        <w:rPr>
          <w:rFonts w:ascii="Arial" w:hAnsi="Arial" w:cs="Arial"/>
          <w:sz w:val="8"/>
          <w:szCs w:val="8"/>
        </w:rPr>
      </w:pPr>
    </w:p>
    <w:p w14:paraId="1A432145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Przeznaczenie listy i sposób jej wypełnienia</w:t>
      </w:r>
    </w:p>
    <w:p w14:paraId="1C600D64" w14:textId="1FB7FBD2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t>Lista jest przeznaczona dla jednostek samorządu terytorialnego, urzędów administracji publicznej i innych podmiotów realizujących zadania publiczne. Uwzględnia zasadę legalizmu</w:t>
      </w:r>
      <w:r w:rsidR="0072279D">
        <w:rPr>
          <w:rFonts w:ascii="Arial" w:hAnsi="Arial" w:cs="Arial"/>
          <w:sz w:val="24"/>
          <w:szCs w:val="24"/>
        </w:rPr>
        <w:t xml:space="preserve"> </w:t>
      </w:r>
      <w:r w:rsidRPr="006E7BE1">
        <w:rPr>
          <w:rFonts w:ascii="Arial" w:hAnsi="Arial" w:cs="Arial"/>
          <w:sz w:val="24"/>
          <w:szCs w:val="24"/>
        </w:rPr>
        <w:t>oraz szczególną odpowiedzialność podmiotów publicznych wobec obywateli, w tym osób w szczególnie wrażliwej sytuacji.</w:t>
      </w:r>
    </w:p>
    <w:p w14:paraId="2BEE6715" w14:textId="02C30DE2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sz w:val="24"/>
          <w:szCs w:val="24"/>
        </w:rPr>
        <w:lastRenderedPageBreak/>
        <w:t xml:space="preserve">Lista nie zastępuje oceny skutków dla ochrony danych (DPIA) ani oceny wpływu na prawa podstawowe (FRIA), które w sektorze publicznym przy systemach AI są wymagane w większości przypadków. Stanowi materiał wejściowy do obu ocen. Nie zastępuje również analizy ryzyka, a wypełnienie listy nie jest równoznaczne </w:t>
      </w:r>
      <w:r w:rsidR="00CE293C" w:rsidRPr="006E7BE1">
        <w:rPr>
          <w:rFonts w:ascii="Arial" w:hAnsi="Arial" w:cs="Arial"/>
          <w:sz w:val="24"/>
          <w:szCs w:val="24"/>
        </w:rPr>
        <w:br/>
      </w:r>
      <w:r w:rsidRPr="006E7BE1">
        <w:rPr>
          <w:rFonts w:ascii="Arial" w:hAnsi="Arial" w:cs="Arial"/>
          <w:sz w:val="24"/>
          <w:szCs w:val="24"/>
        </w:rPr>
        <w:t>z potwierdzeniem zgodności wdrożenia z RODO.</w:t>
      </w:r>
    </w:p>
    <w:p w14:paraId="0FF84E07" w14:textId="77777777" w:rsidR="00CE293C" w:rsidRPr="0060083C" w:rsidRDefault="00CE293C" w:rsidP="00255DFC">
      <w:pPr>
        <w:spacing w:after="80" w:line="360" w:lineRule="auto"/>
        <w:jc w:val="both"/>
        <w:rPr>
          <w:rFonts w:ascii="Arial" w:hAnsi="Arial" w:cs="Arial"/>
          <w:sz w:val="10"/>
          <w:szCs w:val="10"/>
        </w:rPr>
      </w:pPr>
    </w:p>
    <w:p w14:paraId="31A5031C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6E7BE1">
        <w:rPr>
          <w:rFonts w:ascii="Arial" w:hAnsi="Arial" w:cs="Arial"/>
          <w:b/>
          <w:bCs/>
          <w:color w:val="2C5F8A"/>
          <w:sz w:val="24"/>
          <w:szCs w:val="24"/>
        </w:rPr>
        <w:t>Instrukcja wypełniania</w:t>
      </w:r>
    </w:p>
    <w:p w14:paraId="22752722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Listę wypełnia kierownik komórki merytorycznej odpowiedzialnej za proces, </w:t>
      </w:r>
      <w:r w:rsidRPr="006E7BE1">
        <w:rPr>
          <w:sz w:val="24"/>
          <w:szCs w:val="24"/>
        </w:rPr>
        <w:br/>
        <w:t>w którym system ma być wykorzystywany, przy udziale inspektora ochrony danych.</w:t>
      </w:r>
    </w:p>
    <w:p w14:paraId="036B14A7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Włączenie inspektora ochrony danych jest obligatoryjne, jego wyznaczenie </w:t>
      </w:r>
      <w:r w:rsidRPr="006E7BE1">
        <w:rPr>
          <w:sz w:val="24"/>
          <w:szCs w:val="24"/>
        </w:rPr>
        <w:br/>
        <w:t>w podmiotach publicznych wynika z art. 37 ust. 1 lit. a RODO, a udział w ocenie wdrożenia z art. 38 ust. 1 i art. 39 RODO.</w:t>
      </w:r>
    </w:p>
    <w:p w14:paraId="3E040137" w14:textId="372B5E29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Jeżeli system ma wspierać wydawanie rozstrzygnięć w sprawach indywidualnych lub załatwianie spraw, listę należy skonsultować również </w:t>
      </w:r>
      <w:r w:rsidR="006E7BE1" w:rsidRPr="006E7BE1">
        <w:rPr>
          <w:sz w:val="24"/>
          <w:szCs w:val="24"/>
        </w:rPr>
        <w:br/>
      </w:r>
      <w:r w:rsidRPr="006E7BE1">
        <w:rPr>
          <w:sz w:val="24"/>
          <w:szCs w:val="24"/>
        </w:rPr>
        <w:t>z radcą prawnym obsługującym jednostkę.</w:t>
      </w:r>
    </w:p>
    <w:p w14:paraId="3AAF7DD0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>Listę wypełnia się odrębnie dla każdego rodzaju spraw lub procesu, w którym system ma być wykorzystywany.</w:t>
      </w:r>
    </w:p>
    <w:p w14:paraId="797A5E70" w14:textId="67FEFC2E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Pole odpowiedzi pozostawione puste oznacza lukę informacyjną, którą odnotowuje się w kolumnie „Działanie” wraz z osobą odpowiedzialną </w:t>
      </w:r>
      <w:r w:rsidR="00D130EB" w:rsidRPr="006E7BE1">
        <w:rPr>
          <w:sz w:val="24"/>
          <w:szCs w:val="24"/>
        </w:rPr>
        <w:br/>
      </w:r>
      <w:r w:rsidRPr="006E7BE1">
        <w:rPr>
          <w:sz w:val="24"/>
          <w:szCs w:val="24"/>
        </w:rPr>
        <w:t>i terminem. Brak ustalonej podstawy prawnej wyklucza wdrożenie – zasada legalizmu nie dopuszcza działania w warunkach niepewności co do umocowania. Jeżeli pytanie nie dotyczy danego przypadku, wybiera się „WYJAŚNIJ” i wskazuje powód; „WYJAŚNIJ” bez wyjaśnienia traktuje się jak brak odpowiedzi.</w:t>
      </w:r>
    </w:p>
    <w:p w14:paraId="6685F2A2" w14:textId="3C1D51F8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Wypełnioną listę załącza się do dokumentacji postępowania o wdrożenie systemu, w tym postępowania o udzielenie zamówienia publicznego, </w:t>
      </w:r>
      <w:r w:rsidR="00D130EB" w:rsidRPr="006E7BE1">
        <w:rPr>
          <w:sz w:val="24"/>
          <w:szCs w:val="24"/>
        </w:rPr>
        <w:br/>
      </w:r>
      <w:r w:rsidRPr="006E7BE1">
        <w:rPr>
          <w:sz w:val="24"/>
          <w:szCs w:val="24"/>
        </w:rPr>
        <w:t>i zachowuje jako element dokumentacji rozliczalności (art. 5 ust. 2 RODO).</w:t>
      </w:r>
    </w:p>
    <w:p w14:paraId="3BBA2C1C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>Wypełnianie listy kończy się, gdy przy każdym pytaniu jest odpowiedź, a tam, gdzie odpowiedź ujawnia potrzebę działania, w kolumnie „Działanie” wpisano zadanie, osobę odpowiedzialną i termin.</w:t>
      </w:r>
    </w:p>
    <w:p w14:paraId="703B004A" w14:textId="3879E3F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Zadania nie są równorzędne. Zadania dotyczące warunków legalności tj. ustalenia podstawy prawnej i przepisu pozwalającego na wykorzystanie AI </w:t>
      </w:r>
      <w:r w:rsidR="006E7BE1" w:rsidRPr="006E7BE1">
        <w:rPr>
          <w:sz w:val="24"/>
          <w:szCs w:val="24"/>
        </w:rPr>
        <w:br/>
      </w:r>
      <w:r w:rsidRPr="006E7BE1">
        <w:rPr>
          <w:sz w:val="24"/>
          <w:szCs w:val="24"/>
        </w:rPr>
        <w:lastRenderedPageBreak/>
        <w:t>w danym procesie, nadzoru człowieka nad rozstrzygnięciami, obowiązku informacyjnego, podstawy przekazania danych poza EOG oraz oceny skutków dla ochrony danych – wykonuje się przed uruchomieniem systemu. Zasada legalizmu nie dopuszcza działania w warunkach niepewności co do umocowania.</w:t>
      </w:r>
    </w:p>
    <w:p w14:paraId="22871A16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 xml:space="preserve">Zadania dotyczące środków organizacyjnych, np. szkoleń, polityk, procedur reagowania na incydenty, procedur zarządzania danymi, dokumentacji technicznej, mogą być realizowane równolegle z korzystaniem z systemu, </w:t>
      </w:r>
      <w:r w:rsidRPr="006E7BE1">
        <w:rPr>
          <w:sz w:val="24"/>
          <w:szCs w:val="24"/>
        </w:rPr>
        <w:br/>
        <w:t>w terminach wskazanych w kolumnie „Działanie”.</w:t>
      </w:r>
    </w:p>
    <w:p w14:paraId="34007391" w14:textId="77777777" w:rsidR="00255DFC" w:rsidRPr="006E7BE1" w:rsidRDefault="00255DFC" w:rsidP="00255DFC">
      <w:pPr>
        <w:pStyle w:val="Akapitzlist"/>
        <w:numPr>
          <w:ilvl w:val="0"/>
          <w:numId w:val="2"/>
        </w:numPr>
        <w:spacing w:after="40" w:line="360" w:lineRule="auto"/>
        <w:jc w:val="both"/>
        <w:rPr>
          <w:sz w:val="24"/>
          <w:szCs w:val="24"/>
        </w:rPr>
      </w:pPr>
      <w:r w:rsidRPr="006E7BE1">
        <w:rPr>
          <w:sz w:val="24"/>
          <w:szCs w:val="24"/>
        </w:rPr>
        <w:t>Jeżeli brak jest przepisu pozwalającego na wykorzystanie AI w danym procesie albo czynność jest zastrzeżona przepisami dla człowieka, nie planuje się zadania z terminem, konieczna jest zmiana konstrukcji procesu albo odstąpienie od wdrożenia.</w:t>
      </w:r>
    </w:p>
    <w:p w14:paraId="105E56A6" w14:textId="77777777" w:rsidR="00255DFC" w:rsidRPr="006E7BE1" w:rsidRDefault="00255DFC" w:rsidP="00255DFC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</w:p>
    <w:p w14:paraId="47FCD85A" w14:textId="50865F51" w:rsidR="008162F4" w:rsidRPr="006E7BE1" w:rsidRDefault="008162F4">
      <w:pPr>
        <w:rPr>
          <w:rFonts w:ascii="Arial" w:hAnsi="Arial" w:cs="Arial"/>
        </w:rPr>
        <w:sectPr w:rsidR="008162F4" w:rsidRPr="006E7BE1" w:rsidSect="00255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784D33BE" w14:textId="3F4F4E81" w:rsidR="007D17ED" w:rsidRPr="006E7BE1" w:rsidRDefault="007D17ED">
      <w:pPr>
        <w:rPr>
          <w:rFonts w:ascii="Arial" w:hAnsi="Arial" w:cs="Arial"/>
        </w:rPr>
      </w:pPr>
    </w:p>
    <w:p w14:paraId="60838E5E" w14:textId="31F98E61" w:rsidR="008162F4" w:rsidRPr="006E7BE1" w:rsidRDefault="008162F4">
      <w:pPr>
        <w:rPr>
          <w:rFonts w:ascii="Arial" w:hAnsi="Arial" w:cs="Arial"/>
        </w:rPr>
      </w:pPr>
    </w:p>
    <w:tbl>
      <w:tblPr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874"/>
        <w:gridCol w:w="2909"/>
        <w:gridCol w:w="2741"/>
        <w:gridCol w:w="3123"/>
        <w:gridCol w:w="4401"/>
      </w:tblGrid>
      <w:tr w:rsidR="00255DFC" w:rsidRPr="006E7BE1" w14:paraId="11A96EEA" w14:textId="77777777" w:rsidTr="00255DFC">
        <w:trPr>
          <w:tblHeader/>
        </w:trPr>
        <w:tc>
          <w:tcPr>
            <w:tcW w:w="44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98D00F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Nr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2B295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Typ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9BD84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Pytanie (z oznaczeniem fazy)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8646B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Wyjaśnienie / Źródło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13330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Odpowiedź: TAK / NIE / WYJAŚNIJ</w:t>
            </w: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B3A5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59BDE" w14:textId="77777777" w:rsidR="00255DFC" w:rsidRPr="006E7BE1" w:rsidRDefault="00255DFC" w:rsidP="002B4C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Działanie: zadanie, osoba odpowiedzialna, termin</w:t>
            </w:r>
          </w:p>
        </w:tc>
      </w:tr>
      <w:tr w:rsidR="00255DFC" w:rsidRPr="006E7BE1" w14:paraId="1A2DA8F2" w14:textId="77777777" w:rsidTr="00255DFC">
        <w:tc>
          <w:tcPr>
            <w:tcW w:w="14600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0C3A0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CEL I ZASADNOŚĆ (WHY?)</w:t>
            </w:r>
          </w:p>
        </w:tc>
      </w:tr>
      <w:tr w:rsidR="00255DFC" w:rsidRPr="006E7BE1" w14:paraId="374A2FE5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6FAE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C3F8C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[T+W]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B14F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Jaki problem / potrzebę publiczny ma rozwiązać AI i czy jest to adekwatne do natury problemu?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F8C6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Należy ocenić, czy istniejące rozwiązania nie są wystarczające. Uzasadnienie wdrożenia warunkuje dalszą ocenę RODO.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9913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42633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D4D5C43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C34F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28C89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[T+W]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5038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Jakie korzyści mierzalne (czas, koszty, zyski, jakość usług) są oczekiwane?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86343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Określenie korzyści pozwala ocenić proporcjonalność przetwarzania danych i zasadność wydatkowania środków publicznych.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E8696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CE0973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3C8C5B2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96E3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6728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[T+W]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4553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Jakie ryzyka dla praw obywateli lub ryzyka dla człowieka mogą się pojawić? Czy wpływ będzie sprawiedliwy wobec różnych grup?</w:t>
            </w:r>
          </w:p>
        </w:tc>
        <w:tc>
          <w:tcPr>
            <w:tcW w:w="283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63DA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Należy ocenić, na ile skutki będą sprawiedliwe wobec grup, których dotyczą. Sektor publiczny: szczególna odpowiedzialność wobec wszystkich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obywateli, w tym grup wrażliwych.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90B4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1D518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481B561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51E8C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CHARAKTER SYSTEMU (WHAT?)</w:t>
            </w:r>
          </w:p>
        </w:tc>
      </w:tr>
      <w:tr w:rsidR="00255DFC" w:rsidRPr="006E7BE1" w14:paraId="045BA56C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81FE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BEC2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F07AB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AI wspiera lub podejmuje decyzje administracyjne wobec osób fizycznych albo wspiera lub załatwia sprawy niekończące się decyzjami administracyjnymi a wpływające na sferę praw obywateli?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A004A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Art. 22 RODO + zasada prawdy obiektywnej KPA. Decyzja administracyjna musi być wydana przez urzędnika.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EB25D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D68D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421A895D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E5E53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98608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BEF3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system podejmuje autonomiczne decyzje wobec osób fizycznych?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3DDA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Kluczowe dla art. 22 RODO. Autonomiczność decyzji determinuje zakres wymaganych gwarancji i nadzoru ludzkiego.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EC1C80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E2E7F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51412E8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49CB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CCC97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5A6BF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wynik AI wpływa na prawa, wolności lub obowiązki obywateli?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BEAD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Determinuje zakres: DPIA, obowiązki informacyjne, prawo do </w:t>
            </w:r>
            <w:r w:rsidRPr="006E7BE1">
              <w:rPr>
                <w:rFonts w:ascii="Arial" w:hAnsi="Arial" w:cs="Arial"/>
                <w:sz w:val="24"/>
                <w:szCs w:val="24"/>
              </w:rPr>
              <w:lastRenderedPageBreak/>
              <w:t>interwencji ludzkiej, FRIA.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9D48B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FAA18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6FA1E7E5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63E1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8390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1224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organizacja wdrażając gotowy system lub budując własny zna architekturę i konfigurację?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BE77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Rozróżnienie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build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deploy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determinuje zakres odpowiedzialności. Znajomość architektury warunkuje 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protection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by design.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C720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EC17F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66AA666E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A365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2EAF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DC7C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są ryzyka użycia systemu poza jego przeznaczeniem?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5C4E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Należy zidentyfikować potencjalne konteksty użycia i ryzyka nadużycia. W sektorze publicznym: ryzyko rozszerzenia nadzoru, profilowania obywateli.</w:t>
            </w:r>
          </w:p>
          <w:p w14:paraId="6110BBB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F6DB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0214D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4E525FC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87389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DANE OSOBOWE OBYWATELI (DATA?)</w:t>
            </w:r>
          </w:p>
        </w:tc>
      </w:tr>
      <w:tr w:rsidR="00255DFC" w:rsidRPr="006E7BE1" w14:paraId="1FAE00E9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F1ED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0212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85EFB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system przetwarza dane osobowe obywateli, petentów, beneficjentów świadczeń?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987F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Art. 4 pkt 1 RODO. Obejmuje dane mieszkańców, stron postępowań. Źródło: dokumentacja systemu.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1AB5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7845F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45287D9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5C0A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D015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4845E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wśród danych są dane szczególnych kategorii (zdrowie, orzeczenia) i grupy wrażliwe (dzieci, osoby z niepełnosprawnościami)?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DD78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Art. 9, art. 8 RODO. Sektor publiczny: pomoc społeczna, edukacja, zdrowie. Szczególną uwagę należy zwrócić na grupy w szczególnie wrażliwej sytuacji.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31E01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2E7C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7A7D1C3F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25F6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82EEE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2D5F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jakość i reprezentatywność danych jest wystarczająca?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7A00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Istotne jest zidentyfikowanie ryzyka stronniczości systemu oraz określenie i wdrożenie środków mających zapobiegać generowaniu wyników niesprawiedliwych lub dyskryminujących określone grupy osób (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bias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). Ryzyko to występuje również w danych publicznych. Źródło: dokumentacja systemu, analiza danych.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B3F076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C9B43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338A499A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B1A4F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121F7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4D4D7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wdrożono procedury zarządzania danymi (data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governance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) obejmujące dane obywateli wykorzystywane w systemie AI: klasyfikację informacji, kontrolę jakości danych, zarządzanie dostępem i dokumentowanie pochodzenia danych?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12A5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Wdrożone procedury warunkują faktyczną kontrolę nad danymi i możliwość wykazania rozliczalności (art. 5 ust. 2 RODO). W sektorze publicznym istotne również dla zasady prawdy obiektywnej i możliwości weryfikacji podstaw rozstrzygnięcia. Pytanie uzupełnia pytanie 26 dotyczące roli odpowiedzialnej za 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governance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. Źródło: polityka zarządzania danymi, instrukcja kancelaryjna, regulaminy wewnętrzne.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2254C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D985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4689748B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36667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</w:rPr>
              <w:t>13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6EFE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E3BA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określono okresy przechowywania danych obywateli przetwarzanych w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systemie, w tym danych wejściowych, wyników i logów, spójnie z instrukcją kancelaryjną i jednolitym rzeczowym wykazem akt (art. 5 ust. 1 lit. e RODO)?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2204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Okresy przechowywania w jednostce publicznej wynikają z przepisów o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narodowym zasobie archiwalnym oraz z instrukcji kancelaryjnej i JRWA. Dane w systemie AI, w tym historia zapytań i logi, nie mogą być przechowywane bezterminowo ani krócej, niż wymagają tego przepisy o archiwizacji. Źródło: instrukcja kancelaryjna, JRWA, polityka retencji.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CEB4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2AF86D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F8335DC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48D795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PODSTAWA PRAWNA</w:t>
            </w:r>
          </w:p>
        </w:tc>
      </w:tr>
      <w:tr w:rsidR="00255DFC" w:rsidRPr="006E7BE1" w14:paraId="229C725C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B624B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C757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384B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określono podstawę prawną: obowiązek prawny (art. 6 ust. 1 lit. c) lub zadanie w interesie publicznym (lit. e)?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8221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W sektorze publicznym lit. f (uzasadniony interes) co do zasady nie ma zastosowania.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2FFD7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B411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30A86C77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C01F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43888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9F7F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istnieje przepis prawa umożliwiający wykorzystanie AI w danym procesie decyzyjnym?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B874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Zasada legalizmu.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+ przepisy sektorowe. Czy KPA dopuszcza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wspomaganie algorytmem?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20EAE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9F92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241F2F18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55F184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NADZÓR CZŁOWIEKA I TRANSPARENTNOŚĆ (HOW?)</w:t>
            </w:r>
          </w:p>
        </w:tc>
      </w:tr>
      <w:tr w:rsidR="00255DFC" w:rsidRPr="006E7BE1" w14:paraId="04AE5CC1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E72E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6AD0D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9FE6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zapewniono nadzór człowieka nad wynikami AI, szczególnie przy decyzjach / załatwianych sprawach wpływających na prawa obywateli?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08CE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Art. 22 ust. 3 RODO + art. 14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. Prawo do rozpatrzenia sprawy przez człowieka, prawo do odwołania.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2A6691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AD8AB1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1CDEC59B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9114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8E7B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D911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obywatele są informowani o wykorzystaniu AI (art. 13–14 RODO)?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53CF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Klauzule informacyjne: informacja o AI, zasady działania, znaczenie, konsekwencje. Art. 50 AI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0760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DC70C3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1AAD2FAF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4F79D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1FF3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930E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organizacja jest w stanie wyjaśnić obywatelowi, jak AI wpłynęło na decyzję / załatwioną sprawę?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6102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Przejrzystość (art. 5 ust. 1 lit. a). Data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protection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 by design (art. 25) –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wyjaśnialność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 systemowa. Informowanie o wykorzystaniu systemu wysokiego ryzyka (art. 26 ust. 11 AI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). </w:t>
            </w:r>
            <w:r w:rsidRPr="006E7BE1">
              <w:rPr>
                <w:rFonts w:ascii="Arial" w:hAnsi="Arial" w:cs="Arial"/>
                <w:sz w:val="24"/>
                <w:szCs w:val="24"/>
              </w:rPr>
              <w:lastRenderedPageBreak/>
              <w:t xml:space="preserve">Prawo osoby, której dotyczy decyzja oparta na systemie wysokiego ryzyka, do wyjaśnienia roli tego systemu w procesie decyzyjnym oraz głównych elementów decyzji (art. 86 ust. 1 AI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62971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0B144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1EF0DA2E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0B05F9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DOSTAWCA, TRANSFER, BEZPIECZEŃSTWO</w:t>
            </w:r>
          </w:p>
        </w:tc>
      </w:tr>
      <w:tr w:rsidR="00255DFC" w:rsidRPr="006E7BE1" w14:paraId="6381CCCE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EDD7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22F6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0469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zawarto umowę powierzenia z dostawcą AI (art. 28)?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31B0D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Obowiązkowa. Sektor publiczny: szczególne wymogi dot. kontroli i audytu.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AFCD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2B18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7C22DC36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AD43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C834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D5C65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Czy model AI jest oparty na rozwiązaniu open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source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 czy zamkniętym (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closed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7BE1">
              <w:rPr>
                <w:rFonts w:ascii="Arial" w:hAnsi="Arial" w:cs="Arial"/>
                <w:sz w:val="24"/>
                <w:szCs w:val="24"/>
              </w:rPr>
              <w:t>source</w:t>
            </w:r>
            <w:proofErr w:type="spellEnd"/>
            <w:r w:rsidRPr="006E7BE1">
              <w:rPr>
                <w:rFonts w:ascii="Arial" w:hAnsi="Arial" w:cs="Arial"/>
                <w:sz w:val="24"/>
                <w:szCs w:val="24"/>
              </w:rPr>
              <w:t>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7A9C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Typ modelu wpływa na zakres kontroli, możliwość audytu i transparentność. W sektorze publicznym – istotne dla rozliczalności.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87EB8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253B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76EBAF23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6F50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41A9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CDA0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dane są przetwarzane wyłącznie na terenie EOG?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57A8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 xml:space="preserve">Sektor publiczny: szczególna ostrożność. Dane obywateli nie </w:t>
            </w:r>
            <w:r w:rsidRPr="006E7BE1">
              <w:rPr>
                <w:rFonts w:ascii="Arial" w:hAnsi="Arial" w:cs="Arial"/>
                <w:sz w:val="24"/>
                <w:szCs w:val="24"/>
              </w:rPr>
              <w:lastRenderedPageBreak/>
              <w:t>powinny co do zasady opuszczać EOG.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ACFD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D4E898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78C709FB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AABA1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1DF3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E3406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wdrożono środki bezpieczeństwa odpowiednie do ryzyka (art. 32)?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AEB69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Kontrola dostępu, szyfrowanie, monitoring, klasyfikacja informacji (dane zastrzeżone, poufne).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A0056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FC9AAF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0DAA6CBA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6DD4B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</w:rPr>
              <w:t>23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44A8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B22E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Czy procedura postępowania z naruszeniami ochrony danych obejmuje zdarzenia związane z systemem AI (art. 33–34 RODO)?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71BC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Naruszeniem może być ujawnienie danych obywatela w wyniku działania modelu, nieuprawniony dostęp do historii zapytań albo wprowadzenie danych z akt sprawy do narzędzia zewnętrznego. Zgłoszenie organowi nadzorczemu następuje bez zbędnej zwłoki, nie później niż w 72 godziny. Źródło: procedura postępowania z naruszeniami.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51D160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DA242C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DFC" w:rsidRPr="006E7BE1" w14:paraId="1ECCD52C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9CCA6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OCENA SKUTKÓW I DOKUMENTACJA</w:t>
            </w:r>
          </w:p>
        </w:tc>
      </w:tr>
      <w:tr w:rsidR="00255DFC" w:rsidRPr="006E7BE1" w14:paraId="46876171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ABCC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9A05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93FB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przeprowadzono DPIA (art. 35 RODO)?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AD161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Prawie zawsze wymagana w sektorze publicznym przy AI. Wykaz PUODO. Wytyczne EROD.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5FB7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D3FD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14430BEA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1FE5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67A9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8B9F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IOD został włączony w ocenę wdrożenia i czy zaktualizowano RCP?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1D493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IOD obligatoryjny w sektorze publicznym (art. 37 ust. 1 lit. a). RCP: art. 30.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14E19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E738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47C89F64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CCBE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62F3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EE92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wyznaczono rolę odpowiedzialną za zarządzanie danymi (data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governance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62C37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Zarządzanie danymi zapewnia jakość, spójność i dostępność danych. W sektorze publicznym – kluczowe dla rozliczalności.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1D80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9E4BC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5A036F02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7A7C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C761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AAF9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zastosowano 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protection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by design i by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default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(art. 25)?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FE56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Ochrona danych w fazie projektowania. Minimalizacja,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pseudonimizacja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, domyślne ustawienia chroniące dane.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A0E30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1A13D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6D5CF15E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6955D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GOTOWOŚĆ ORGANIZACYJNA (ARE WE READY?)</w:t>
            </w:r>
          </w:p>
        </w:tc>
      </w:tr>
      <w:tr w:rsidR="00255DFC" w:rsidRPr="006E7BE1" w14:paraId="5279979C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A4822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21EA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F02FA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organizacja posiada politykę AI, procedury reagowania na incydenty, zasoby kadrowe?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1F28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75,2% organizacji nie ma ekspertów. Należy ocenić, czy zasoby organizacji są wystarczające. Źródło: dokumentacja wewnętrzna.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230B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37FC7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461C5D87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A1CD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F1DE9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5294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przeszkolono pracowników w zakresie bezpiecznego korzystania z AI?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3EAF7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Szkolenie użytkowników ogranicza ryzyko niewłaściwego użycia i jest elementem data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protection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by design.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E340E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7FF666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20A69790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CDFE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66954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9C85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określono procedury reagowania na incydenty związane z jakością danych?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8967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Procedury: wykrywanie błędów danych, eskalacja, korekcja i dokumentowanie. Istotne dla prawidłowości (art. 5 ust. 1 lit. d).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2192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C65B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20B38169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13BBE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</w:rPr>
              <w:t>31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DA5FD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5BD1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przewidziano okresowy przegląd systemu po wdrożeniu: monitorowanie jakości wyników, wykrywanie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dryfu modelu oraz ponowną ocenę przy istotnej zmianie systemu, danych lub rodzaju spraw, w których jest wykorzystywany?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730D12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Ocena skutków podlega przeglądowi, gdy zmienia się ryzyko (art. 35 ust. 11 RODO). W jednostce publicznej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zmianą taką jest również rozszerzenie systemu na nowy rodzaj spraw. Źródło: plan przeglądów, rejestr zmian, raporty monitorowania.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9217D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689DB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03B0AD9E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84D5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3D002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B3BA0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Czy dysponujemy dokumentacją techniczną systemu AI od dostawcy?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B14B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Źródło informacji do analizy ryzyka, DPIA, FRIA i bieżącej oceny.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: karta modelu, instrukcja użycia.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73F32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05C45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47CB0464" w14:textId="77777777" w:rsidTr="00F67036">
        <w:tc>
          <w:tcPr>
            <w:tcW w:w="567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14544" w14:textId="77777777" w:rsidR="00255DFC" w:rsidRPr="006E7BE1" w:rsidRDefault="00255DFC" w:rsidP="00255DFC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 xml:space="preserve">AI </w:t>
            </w:r>
            <w:proofErr w:type="spellStart"/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>Act</w:t>
            </w:r>
            <w:proofErr w:type="spellEnd"/>
            <w:r w:rsidRPr="006E7BE1">
              <w:rPr>
                <w:b/>
                <w:bCs/>
                <w:color w:val="FFFFFF" w:themeColor="background1"/>
                <w:sz w:val="24"/>
                <w:szCs w:val="24"/>
              </w:rPr>
              <w:t xml:space="preserve"> – SEKTOR PUBLICZNY</w:t>
            </w:r>
          </w:p>
        </w:tc>
      </w:tr>
      <w:tr w:rsidR="00255DFC" w:rsidRPr="006E7BE1" w14:paraId="59AD9B91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43D2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AE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9FBCC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P/Z [T+W]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D8EA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system może podlegać klasyfikacji jako system wysokiego ryzyka (art. 6, Załącznik III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)?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F6C329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Wiele zastosowań publicznych AI = wysokie ryzyko: administracja, pomoc społeczna, migracja, porządek publiczny. Jeśli tak – przejdź do Wersji Rozszerzonej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A9C69A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4B918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18F20CEC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5FF4F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9080A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P/Z </w:t>
            </w: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1F9F2"/>
              </w:rPr>
              <w:t>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4190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wykorzystanie systemu sztucznej inteligencji nie będzie </w:t>
            </w: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praktyką zakazaną w rozumieniu art. 5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0E847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Art. 5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zawiera listę zakazanych praktyk w zakresie AI.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BB141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BD834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55DFC" w:rsidRPr="006E7BE1" w14:paraId="0F4196D8" w14:textId="77777777" w:rsidTr="00F67036">
        <w:tc>
          <w:tcPr>
            <w:tcW w:w="56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67EE5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1F9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EE3C4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 [W]</w:t>
            </w:r>
          </w:p>
        </w:tc>
        <w:tc>
          <w:tcPr>
            <w:tcW w:w="269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94C878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Czy zapewniono wymogi przejrzystości z art. 50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: informowanie o interakcji z systemem AI oraz oznaczanie treści wygenerowanych lub zmodyfikowanych przez AI?</w:t>
            </w:r>
          </w:p>
        </w:tc>
        <w:tc>
          <w:tcPr>
            <w:tcW w:w="2405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B7D81" w14:textId="77777777" w:rsidR="00255DFC" w:rsidRPr="006E7BE1" w:rsidRDefault="00255DFC" w:rsidP="002B4C9B">
            <w:pPr>
              <w:spacing w:after="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Art. 50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wiąże niezależnie od klasyfikacji systemu jako systemu wysokiego ryzyka. W jednostce publicznej dotyczy w szczególności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chatbotów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obsługujących mieszkańców oraz pism i materiałów przygotowanych z użyciem AI. Uzupełnia obowiązek informacyjny z art. 26 ust. 11 AI </w:t>
            </w:r>
            <w:proofErr w:type="spellStart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Act</w:t>
            </w:r>
            <w:proofErr w:type="spellEnd"/>
            <w:r w:rsidRPr="006E7BE1">
              <w:rPr>
                <w:rFonts w:ascii="Arial" w:hAnsi="Arial" w:cs="Arial"/>
                <w:color w:val="000000" w:themeColor="text1"/>
                <w:sz w:val="24"/>
                <w:szCs w:val="24"/>
              </w:rPr>
              <w:t>. Źródło: konfiguracja systemu, zasady redagowania pism.</w:t>
            </w:r>
          </w:p>
        </w:tc>
        <w:tc>
          <w:tcPr>
            <w:tcW w:w="340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ABCDF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C65FE" w14:textId="77777777" w:rsidR="00255DFC" w:rsidRPr="006E7BE1" w:rsidRDefault="00255DFC" w:rsidP="002B4C9B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DD7FE19" w14:textId="7869806F" w:rsidR="008162F4" w:rsidRPr="006E7BE1" w:rsidRDefault="008162F4">
      <w:pPr>
        <w:rPr>
          <w:rFonts w:ascii="Arial" w:hAnsi="Arial" w:cs="Arial"/>
        </w:rPr>
      </w:pPr>
    </w:p>
    <w:p w14:paraId="02712A06" w14:textId="4BDE6817" w:rsidR="003120B9" w:rsidRPr="006E7BE1" w:rsidRDefault="003120B9" w:rsidP="00D130EB">
      <w:pPr>
        <w:spacing w:after="120" w:line="360" w:lineRule="auto"/>
        <w:jc w:val="both"/>
        <w:rPr>
          <w:rFonts w:ascii="Arial" w:hAnsi="Arial" w:cs="Arial"/>
        </w:rPr>
      </w:pPr>
      <w:r w:rsidRPr="006E7BE1">
        <w:rPr>
          <w:rFonts w:ascii="Arial" w:hAnsi="Arial" w:cs="Arial"/>
          <w:b/>
          <w:bCs/>
          <w:sz w:val="24"/>
          <w:szCs w:val="24"/>
        </w:rPr>
        <w:t xml:space="preserve">Legenda typów: </w:t>
      </w:r>
      <w:r w:rsidRPr="006E7BE1">
        <w:rPr>
          <w:rFonts w:ascii="Arial" w:hAnsi="Arial" w:cs="Arial"/>
          <w:sz w:val="24"/>
          <w:szCs w:val="24"/>
        </w:rPr>
        <w:t>P = pytanie projektowe (dostarcza wiedzę), Z = pytanie o zgodność z RODO (weryfikuje wymóg), P/Z = pytanie łączące oba aspekty. Organizacje wdrażające gotowe systemy (bez trenowania) mogą pominąć pytania [T].</w:t>
      </w:r>
    </w:p>
    <w:sectPr w:rsidR="003120B9" w:rsidRPr="006E7BE1" w:rsidSect="00816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99AAC" w14:textId="77777777" w:rsidR="009D674C" w:rsidRDefault="009D674C" w:rsidP="009D674C">
      <w:pPr>
        <w:spacing w:after="0" w:line="240" w:lineRule="auto"/>
      </w:pPr>
      <w:r>
        <w:separator/>
      </w:r>
    </w:p>
  </w:endnote>
  <w:endnote w:type="continuationSeparator" w:id="0">
    <w:p w14:paraId="586F92CC" w14:textId="77777777" w:rsidR="009D674C" w:rsidRDefault="009D674C" w:rsidP="009D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0987" w14:textId="77777777" w:rsidR="009D674C" w:rsidRDefault="009D67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C9E1" w14:textId="77777777" w:rsidR="009D674C" w:rsidRDefault="009D67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27F0" w14:textId="77777777" w:rsidR="009D674C" w:rsidRDefault="009D6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B81A0" w14:textId="77777777" w:rsidR="009D674C" w:rsidRDefault="009D674C" w:rsidP="009D674C">
      <w:pPr>
        <w:spacing w:after="0" w:line="240" w:lineRule="auto"/>
      </w:pPr>
      <w:r>
        <w:separator/>
      </w:r>
    </w:p>
  </w:footnote>
  <w:footnote w:type="continuationSeparator" w:id="0">
    <w:p w14:paraId="51CF183D" w14:textId="77777777" w:rsidR="009D674C" w:rsidRDefault="009D674C" w:rsidP="009D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7DBA" w14:textId="77777777" w:rsidR="009D674C" w:rsidRDefault="009D67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F8021" w14:textId="28D07AA6" w:rsidR="009D674C" w:rsidRDefault="009D674C" w:rsidP="009D674C">
    <w:pPr>
      <w:pStyle w:val="Nagwek"/>
      <w:jc w:val="right"/>
    </w:pPr>
    <w:r>
      <w:rPr>
        <w:i/>
        <w:iCs/>
        <w:color w:val="999999"/>
        <w:sz w:val="16"/>
        <w:szCs w:val="16"/>
      </w:rPr>
      <w:t>Listy pytań inicjalnych – RODO &amp; AI | Podejście funkcjonalne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D35D" w14:textId="77777777" w:rsidR="009D674C" w:rsidRDefault="009D6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5B87"/>
    <w:multiLevelType w:val="hybridMultilevel"/>
    <w:tmpl w:val="AA88AAC0"/>
    <w:lvl w:ilvl="0" w:tplc="49269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4634"/>
    <w:multiLevelType w:val="hybridMultilevel"/>
    <w:tmpl w:val="E16A31C8"/>
    <w:lvl w:ilvl="0" w:tplc="F1B2DF6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F4067"/>
    <w:multiLevelType w:val="hybridMultilevel"/>
    <w:tmpl w:val="D570C50A"/>
    <w:lvl w:ilvl="0" w:tplc="F1B2DF6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F4"/>
    <w:rsid w:val="00255DFC"/>
    <w:rsid w:val="003120B9"/>
    <w:rsid w:val="0060083C"/>
    <w:rsid w:val="006502F1"/>
    <w:rsid w:val="006E7BE1"/>
    <w:rsid w:val="0072279D"/>
    <w:rsid w:val="007D17ED"/>
    <w:rsid w:val="008162F4"/>
    <w:rsid w:val="00831B07"/>
    <w:rsid w:val="0089058F"/>
    <w:rsid w:val="009D674C"/>
    <w:rsid w:val="00CE293C"/>
    <w:rsid w:val="00D130EB"/>
    <w:rsid w:val="00F6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DADB"/>
  <w15:chartTrackingRefBased/>
  <w15:docId w15:val="{59B19F9D-66B3-438E-B332-F2616E68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8162F4"/>
    <w:pPr>
      <w:spacing w:before="360" w:after="200" w:line="240" w:lineRule="auto"/>
      <w:outlineLvl w:val="0"/>
    </w:pPr>
    <w:rPr>
      <w:rFonts w:ascii="Arial" w:eastAsia="Arial" w:hAnsi="Arial" w:cs="Arial"/>
      <w:b/>
      <w:bCs/>
      <w:color w:val="1B3A5C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2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qFormat/>
    <w:rsid w:val="008162F4"/>
    <w:pPr>
      <w:spacing w:after="0" w:line="240" w:lineRule="auto"/>
    </w:pPr>
    <w:rPr>
      <w:rFonts w:ascii="Arial" w:eastAsia="Arial" w:hAnsi="Arial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162F4"/>
    <w:rPr>
      <w:rFonts w:ascii="Arial" w:eastAsia="Arial" w:hAnsi="Arial" w:cs="Arial"/>
      <w:b/>
      <w:bCs/>
      <w:color w:val="1B3A5C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2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D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74C"/>
  </w:style>
  <w:style w:type="paragraph" w:styleId="Stopka">
    <w:name w:val="footer"/>
    <w:basedOn w:val="Normalny"/>
    <w:link w:val="StopkaZnak"/>
    <w:uiPriority w:val="99"/>
    <w:unhideWhenUsed/>
    <w:rsid w:val="009D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2345</Words>
  <Characters>14071</Characters>
  <Application>Microsoft Office Word</Application>
  <DocSecurity>0</DocSecurity>
  <Lines>117</Lines>
  <Paragraphs>32</Paragraphs>
  <ScaleCrop>false</ScaleCrop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13</cp:revision>
  <dcterms:created xsi:type="dcterms:W3CDTF">2026-08-04T13:20:00Z</dcterms:created>
  <dcterms:modified xsi:type="dcterms:W3CDTF">2026-08-04T14:01:00Z</dcterms:modified>
</cp:coreProperties>
</file>