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0833C" w14:textId="59949154" w:rsidR="00255DFC" w:rsidRDefault="005A1636" w:rsidP="00CB1EF2">
      <w:pPr>
        <w:spacing w:after="40" w:line="360" w:lineRule="auto"/>
        <w:rPr>
          <w:rFonts w:ascii="Arial" w:hAnsi="Arial" w:cs="Arial"/>
          <w:b/>
          <w:bCs/>
          <w:color w:val="345892"/>
          <w:sz w:val="28"/>
          <w:szCs w:val="28"/>
        </w:rPr>
      </w:pPr>
      <w:r w:rsidRPr="001B31FA">
        <w:rPr>
          <w:rFonts w:ascii="Arial" w:hAnsi="Arial" w:cs="Arial"/>
          <w:b/>
          <w:bCs/>
          <w:color w:val="345892"/>
          <w:sz w:val="28"/>
          <w:szCs w:val="28"/>
        </w:rPr>
        <w:t xml:space="preserve">WERSJA ROZSZERZONA: ROZBUDOWANA LISTA PYTAŃ – RODO + sygnalizacyjnie AI </w:t>
      </w:r>
      <w:proofErr w:type="spellStart"/>
      <w:r w:rsidRPr="001B31FA">
        <w:rPr>
          <w:rFonts w:ascii="Arial" w:hAnsi="Arial" w:cs="Arial"/>
          <w:b/>
          <w:bCs/>
          <w:color w:val="345892"/>
          <w:sz w:val="28"/>
          <w:szCs w:val="28"/>
        </w:rPr>
        <w:t>Act</w:t>
      </w:r>
      <w:proofErr w:type="spellEnd"/>
    </w:p>
    <w:p w14:paraId="33982CDE" w14:textId="77777777" w:rsidR="001E34EB" w:rsidRPr="00590A38" w:rsidRDefault="001E34EB" w:rsidP="00CB1EF2">
      <w:pPr>
        <w:spacing w:after="40" w:line="360" w:lineRule="auto"/>
        <w:rPr>
          <w:rFonts w:ascii="Arial" w:hAnsi="Arial" w:cs="Arial"/>
          <w:b/>
          <w:bCs/>
          <w:color w:val="345892"/>
          <w:sz w:val="16"/>
          <w:szCs w:val="16"/>
        </w:rPr>
      </w:pPr>
    </w:p>
    <w:p w14:paraId="69CEB571" w14:textId="77777777" w:rsidR="005A1636" w:rsidRPr="001B31FA" w:rsidRDefault="005A1636" w:rsidP="005A1636">
      <w:pPr>
        <w:spacing w:after="4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Poziom: </w:t>
      </w:r>
      <w:r w:rsidRPr="001B31FA">
        <w:rPr>
          <w:rFonts w:ascii="Arial" w:hAnsi="Arial" w:cs="Arial"/>
          <w:color w:val="000000" w:themeColor="text1"/>
          <w:sz w:val="24"/>
          <w:szCs w:val="24"/>
        </w:rPr>
        <w:t>pogłębiony – drugi poziom dla każdej z trzech list wejściowych</w:t>
      </w:r>
    </w:p>
    <w:p w14:paraId="3A1396B4" w14:textId="77777777" w:rsidR="005A1636" w:rsidRPr="001B31FA" w:rsidRDefault="005A1636" w:rsidP="005A1636">
      <w:pPr>
        <w:spacing w:after="4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Podstawa: </w:t>
      </w:r>
      <w:r w:rsidRPr="001B31FA">
        <w:rPr>
          <w:rFonts w:ascii="Arial" w:hAnsi="Arial" w:cs="Arial"/>
          <w:color w:val="000000" w:themeColor="text1"/>
          <w:sz w:val="24"/>
          <w:szCs w:val="24"/>
        </w:rPr>
        <w:t xml:space="preserve">RODO + sygnalizacyjnie AI </w:t>
      </w:r>
      <w:proofErr w:type="spellStart"/>
      <w:r w:rsidRPr="001B31FA">
        <w:rPr>
          <w:rFonts w:ascii="Arial" w:hAnsi="Arial" w:cs="Arial"/>
          <w:color w:val="000000" w:themeColor="text1"/>
          <w:sz w:val="24"/>
          <w:szCs w:val="24"/>
        </w:rPr>
        <w:t>Act</w:t>
      </w:r>
      <w:proofErr w:type="spellEnd"/>
    </w:p>
    <w:p w14:paraId="1C894B63" w14:textId="77777777" w:rsidR="005A1636" w:rsidRPr="001B31FA" w:rsidRDefault="005A1636" w:rsidP="005A1636">
      <w:pPr>
        <w:spacing w:after="4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Dla kogo: </w:t>
      </w:r>
      <w:r w:rsidRPr="001B31FA">
        <w:rPr>
          <w:rFonts w:ascii="Arial" w:hAnsi="Arial" w:cs="Arial"/>
          <w:color w:val="000000" w:themeColor="text1"/>
          <w:sz w:val="24"/>
          <w:szCs w:val="24"/>
        </w:rPr>
        <w:t xml:space="preserve">organizacje każdej wielkości i z każdego sektora, po wypełnieniu listy wejściowej; </w:t>
      </w:r>
    </w:p>
    <w:p w14:paraId="5A1DE031" w14:textId="5F418BDC" w:rsidR="005A1636" w:rsidRPr="001B31FA" w:rsidRDefault="005A1636" w:rsidP="005A1636">
      <w:pPr>
        <w:spacing w:after="12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Cel: </w:t>
      </w:r>
      <w:r w:rsidRPr="001B31FA">
        <w:rPr>
          <w:rFonts w:ascii="Arial" w:hAnsi="Arial" w:cs="Arial"/>
          <w:color w:val="000000" w:themeColor="text1"/>
          <w:sz w:val="24"/>
          <w:szCs w:val="24"/>
        </w:rPr>
        <w:t xml:space="preserve">zebrać ustalenia potrzebne do przeprowadzenia analizy ryzyka, oceny skutków dla ochrony danych oraz potrzebne do wykazania zgodności z RODO i sygnalizacji </w:t>
      </w:r>
      <w:r w:rsidR="001B31FA">
        <w:rPr>
          <w:rFonts w:ascii="Arial" w:hAnsi="Arial" w:cs="Arial"/>
          <w:color w:val="000000" w:themeColor="text1"/>
          <w:sz w:val="24"/>
          <w:szCs w:val="24"/>
        </w:rPr>
        <w:br/>
      </w:r>
      <w:r w:rsidRPr="001B31FA">
        <w:rPr>
          <w:rFonts w:ascii="Arial" w:hAnsi="Arial" w:cs="Arial"/>
          <w:color w:val="000000" w:themeColor="text1"/>
          <w:sz w:val="24"/>
          <w:szCs w:val="24"/>
        </w:rPr>
        <w:t>w zakresie obowiązków wynikających z aktu w sprawie sztucznej inteligencji</w:t>
      </w:r>
    </w:p>
    <w:p w14:paraId="472E9FBA" w14:textId="77777777" w:rsidR="005A1636" w:rsidRPr="001B31FA" w:rsidRDefault="005A1636" w:rsidP="005A1636">
      <w:pPr>
        <w:spacing w:after="12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Moment: </w:t>
      </w:r>
      <w:r w:rsidRPr="001B31FA">
        <w:rPr>
          <w:rFonts w:ascii="Arial" w:hAnsi="Arial" w:cs="Arial"/>
          <w:color w:val="000000" w:themeColor="text1"/>
          <w:sz w:val="24"/>
          <w:szCs w:val="24"/>
        </w:rPr>
        <w:t>etap koncepcji i wyboru narzędzia, przed zakupem lub rozpoczęciem prac</w:t>
      </w:r>
    </w:p>
    <w:p w14:paraId="62B279EF" w14:textId="516BEFC9" w:rsidR="005A1636" w:rsidRPr="001B31FA" w:rsidRDefault="005A1636" w:rsidP="005A1636">
      <w:pPr>
        <w:spacing w:after="12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Kiedy stosować: </w:t>
      </w:r>
      <w:r w:rsidRPr="001B31FA">
        <w:rPr>
          <w:rFonts w:ascii="Arial" w:hAnsi="Arial" w:cs="Arial"/>
          <w:color w:val="000000" w:themeColor="text1"/>
          <w:sz w:val="24"/>
          <w:szCs w:val="24"/>
        </w:rPr>
        <w:t xml:space="preserve">niezależnie od tego, która lista z poziomu wejściowego została wypełniona, gdy zachodzi co najmniej jedna z sytuacji: organizacja buduje albo </w:t>
      </w:r>
      <w:proofErr w:type="spellStart"/>
      <w:r w:rsidRPr="001B31FA">
        <w:rPr>
          <w:rFonts w:ascii="Arial" w:hAnsi="Arial" w:cs="Arial"/>
          <w:color w:val="000000" w:themeColor="text1"/>
          <w:sz w:val="24"/>
          <w:szCs w:val="24"/>
        </w:rPr>
        <w:t>dotrenowuje</w:t>
      </w:r>
      <w:proofErr w:type="spellEnd"/>
      <w:r w:rsidRPr="001B31FA">
        <w:rPr>
          <w:rFonts w:ascii="Arial" w:hAnsi="Arial" w:cs="Arial"/>
          <w:color w:val="000000" w:themeColor="text1"/>
          <w:sz w:val="24"/>
          <w:szCs w:val="24"/>
        </w:rPr>
        <w:t xml:space="preserve"> model na własnych danych; wynik systemu wpływa na sytuację prawną osób; przetwarzane są dane szczególnych kategorii, dane dzieci lub dane o wyrokach; dane są przekazywane poza EOG; system może być systemem wysokiego ryzyka </w:t>
      </w:r>
      <w:r w:rsidR="00583CEB">
        <w:rPr>
          <w:rFonts w:ascii="Arial" w:hAnsi="Arial" w:cs="Arial"/>
          <w:color w:val="000000" w:themeColor="text1"/>
          <w:sz w:val="24"/>
          <w:szCs w:val="24"/>
        </w:rPr>
        <w:br/>
      </w:r>
      <w:r w:rsidRPr="001B31FA">
        <w:rPr>
          <w:rFonts w:ascii="Arial" w:hAnsi="Arial" w:cs="Arial"/>
          <w:color w:val="000000" w:themeColor="text1"/>
          <w:sz w:val="24"/>
          <w:szCs w:val="24"/>
        </w:rPr>
        <w:t xml:space="preserve">w rozumieniu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w:t>
      </w:r>
    </w:p>
    <w:p w14:paraId="73FCBE15" w14:textId="77777777" w:rsidR="005A1636" w:rsidRPr="001B31FA" w:rsidRDefault="005A1636" w:rsidP="005A1636">
      <w:pPr>
        <w:spacing w:after="12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Wynik: </w:t>
      </w:r>
      <w:r w:rsidRPr="001B31FA">
        <w:rPr>
          <w:rFonts w:ascii="Arial" w:hAnsi="Arial" w:cs="Arial"/>
          <w:color w:val="000000" w:themeColor="text1"/>
          <w:sz w:val="24"/>
          <w:szCs w:val="24"/>
        </w:rPr>
        <w:t xml:space="preserve">materiał wejściowy do analizy ryzyka i oceny skutków dla ochrony danych, </w:t>
      </w:r>
      <w:r w:rsidRPr="001B31FA">
        <w:rPr>
          <w:rFonts w:ascii="Arial" w:hAnsi="Arial" w:cs="Arial"/>
          <w:color w:val="000000" w:themeColor="text1"/>
          <w:sz w:val="24"/>
          <w:szCs w:val="24"/>
        </w:rPr>
        <w:br/>
        <w:t>w odpowiednich przypadkach także do oceny wpływu na prawa podstawowe (FRIA), oraz lista zadań warunkujących wdrożenie</w:t>
      </w:r>
    </w:p>
    <w:p w14:paraId="421519EC" w14:textId="2E4BB9F0" w:rsidR="005A1636" w:rsidRDefault="005A1636" w:rsidP="005A1636">
      <w:pPr>
        <w:spacing w:after="120" w:line="360" w:lineRule="auto"/>
        <w:jc w:val="both"/>
        <w:rPr>
          <w:rFonts w:ascii="Arial" w:hAnsi="Arial" w:cs="Arial"/>
          <w:color w:val="000000" w:themeColor="text1"/>
          <w:sz w:val="24"/>
          <w:szCs w:val="24"/>
        </w:rPr>
      </w:pPr>
      <w:r w:rsidRPr="001B31FA">
        <w:rPr>
          <w:rFonts w:ascii="Arial" w:hAnsi="Arial" w:cs="Arial"/>
          <w:b/>
          <w:bCs/>
          <w:color w:val="000000" w:themeColor="text1"/>
          <w:sz w:val="24"/>
          <w:szCs w:val="24"/>
        </w:rPr>
        <w:t xml:space="preserve">Podejście funkcjonalne: </w:t>
      </w:r>
      <w:r w:rsidRPr="001B31FA">
        <w:rPr>
          <w:rFonts w:ascii="Arial" w:hAnsi="Arial" w:cs="Arial"/>
          <w:color w:val="000000" w:themeColor="text1"/>
          <w:sz w:val="24"/>
          <w:szCs w:val="24"/>
        </w:rPr>
        <w:t xml:space="preserve">pytania projektowe (P) dostarczają wiedzy o systemie, pytania o zgodność (Z) weryfikują wymogi RODO i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oznaczenie P/Z łączy oba aspekty</w:t>
      </w:r>
    </w:p>
    <w:p w14:paraId="05DCA000" w14:textId="77777777" w:rsidR="00CA3041" w:rsidRPr="00590A38" w:rsidRDefault="00CA3041" w:rsidP="005A1636">
      <w:pPr>
        <w:spacing w:after="120" w:line="360" w:lineRule="auto"/>
        <w:jc w:val="both"/>
        <w:rPr>
          <w:rFonts w:ascii="Arial" w:hAnsi="Arial" w:cs="Arial"/>
          <w:color w:val="000000" w:themeColor="text1"/>
          <w:sz w:val="12"/>
          <w:szCs w:val="12"/>
        </w:rPr>
      </w:pPr>
    </w:p>
    <w:p w14:paraId="3E905AF6" w14:textId="77777777" w:rsidR="005A1636" w:rsidRPr="001B31FA" w:rsidRDefault="005A1636" w:rsidP="00571AC1">
      <w:pPr>
        <w:spacing w:after="80" w:line="360" w:lineRule="auto"/>
        <w:jc w:val="both"/>
        <w:rPr>
          <w:rFonts w:ascii="Arial" w:hAnsi="Arial" w:cs="Arial"/>
          <w:b/>
          <w:bCs/>
          <w:color w:val="2C5F8A"/>
          <w:sz w:val="24"/>
          <w:szCs w:val="24"/>
        </w:rPr>
      </w:pPr>
      <w:r w:rsidRPr="001B31FA">
        <w:rPr>
          <w:rFonts w:ascii="Arial" w:hAnsi="Arial" w:cs="Arial"/>
          <w:b/>
          <w:bCs/>
          <w:color w:val="2C5F8A"/>
          <w:sz w:val="24"/>
          <w:szCs w:val="24"/>
        </w:rPr>
        <w:t>Założenia metodologiczne</w:t>
      </w:r>
    </w:p>
    <w:p w14:paraId="42FE5C3E" w14:textId="77777777" w:rsidR="005A1636" w:rsidRPr="001B31FA" w:rsidRDefault="005A1636" w:rsidP="005A1636">
      <w:pPr>
        <w:spacing w:after="80" w:line="360" w:lineRule="auto"/>
        <w:jc w:val="both"/>
        <w:rPr>
          <w:rFonts w:ascii="Arial" w:hAnsi="Arial" w:cs="Arial"/>
          <w:sz w:val="24"/>
          <w:szCs w:val="24"/>
        </w:rPr>
      </w:pPr>
      <w:r w:rsidRPr="001B31FA">
        <w:rPr>
          <w:rFonts w:ascii="Arial" w:hAnsi="Arial" w:cs="Arial"/>
          <w:b/>
          <w:bCs/>
          <w:color w:val="2C5F8A"/>
          <w:sz w:val="24"/>
          <w:szCs w:val="24"/>
        </w:rPr>
        <w:t>Podejście funkcjonalne</w:t>
      </w:r>
    </w:p>
    <w:p w14:paraId="33259E4D" w14:textId="77777777" w:rsidR="005A1636" w:rsidRPr="001B31FA" w:rsidRDefault="005A1636" w:rsidP="005A1636">
      <w:pPr>
        <w:spacing w:after="120" w:line="360" w:lineRule="auto"/>
        <w:jc w:val="both"/>
        <w:rPr>
          <w:rFonts w:ascii="Arial" w:hAnsi="Arial" w:cs="Arial"/>
          <w:sz w:val="24"/>
          <w:szCs w:val="24"/>
        </w:rPr>
      </w:pPr>
      <w:r w:rsidRPr="001B31FA">
        <w:rPr>
          <w:rFonts w:ascii="Arial" w:hAnsi="Arial" w:cs="Arial"/>
          <w:sz w:val="24"/>
          <w:szCs w:val="24"/>
        </w:rPr>
        <w:t xml:space="preserve">Lista łączy dwa uzupełniające się rodzaje pytań. Pytania projektowe (P) identyfikują cel, charakter i kontekst wdrożenia AI, dostawcę, dane oraz gotowość organizacyjną – dostarczają wiedzy niezbędnej do oceny zgodności. Pytania o zgodność (Z) weryfikują spełnienie konkretnych wymogów RODO, w szczególności podstawę prawną, prawa osób, obowiązki informacyjne, ocenę skutków </w:t>
      </w:r>
      <w:proofErr w:type="spellStart"/>
      <w:r w:rsidRPr="001B31FA">
        <w:rPr>
          <w:rFonts w:ascii="Arial" w:hAnsi="Arial" w:cs="Arial"/>
          <w:sz w:val="24"/>
          <w:szCs w:val="24"/>
        </w:rPr>
        <w:t>skutków</w:t>
      </w:r>
      <w:proofErr w:type="spellEnd"/>
      <w:r w:rsidRPr="001B31FA">
        <w:rPr>
          <w:rFonts w:ascii="Arial" w:hAnsi="Arial" w:cs="Arial"/>
          <w:sz w:val="24"/>
          <w:szCs w:val="24"/>
        </w:rPr>
        <w:t xml:space="preserve"> dla ochrony danych, </w:t>
      </w:r>
      <w:r w:rsidRPr="001B31FA">
        <w:rPr>
          <w:rFonts w:ascii="Arial" w:hAnsi="Arial" w:cs="Arial"/>
          <w:sz w:val="24"/>
          <w:szCs w:val="24"/>
        </w:rPr>
        <w:lastRenderedPageBreak/>
        <w:t>uwzględnianie ochrony danych w fazie projektowania i powierzenie przetwarzania. Oznaczenie P/Z wskazuje pytanie łączące oba aspekty.</w:t>
      </w:r>
    </w:p>
    <w:p w14:paraId="4536B967" w14:textId="77777777" w:rsidR="005A1636" w:rsidRPr="001B31FA" w:rsidRDefault="005A1636" w:rsidP="005A1636">
      <w:pPr>
        <w:spacing w:after="120" w:line="360" w:lineRule="auto"/>
        <w:jc w:val="both"/>
        <w:rPr>
          <w:rFonts w:ascii="Arial" w:hAnsi="Arial" w:cs="Arial"/>
          <w:sz w:val="24"/>
          <w:szCs w:val="24"/>
        </w:rPr>
      </w:pPr>
      <w:r w:rsidRPr="001B31FA">
        <w:rPr>
          <w:rFonts w:ascii="Arial" w:hAnsi="Arial" w:cs="Arial"/>
          <w:sz w:val="24"/>
          <w:szCs w:val="24"/>
        </w:rPr>
        <w:t>Oba rodzaje pytań są ze sobą powiązane: pytanie projektowe „Jakie dane przetwarza system?” jest warunkiem wstępnym dla pytania o zgodność „Czy istnieje podstawa prawna przetwarzania tych danych?”. Struktura listy odzwierciedla ten związek.</w:t>
      </w:r>
    </w:p>
    <w:p w14:paraId="5F737E8E" w14:textId="77777777" w:rsidR="005A1636" w:rsidRPr="00590A38" w:rsidRDefault="005A1636" w:rsidP="005A1636">
      <w:pPr>
        <w:spacing w:after="120" w:line="360" w:lineRule="auto"/>
        <w:jc w:val="both"/>
        <w:rPr>
          <w:rFonts w:ascii="Arial" w:hAnsi="Arial" w:cs="Arial"/>
          <w:sz w:val="8"/>
          <w:szCs w:val="8"/>
        </w:rPr>
      </w:pPr>
    </w:p>
    <w:p w14:paraId="6CCAFB21" w14:textId="77777777" w:rsidR="005A1636" w:rsidRPr="001B31FA" w:rsidRDefault="005A1636" w:rsidP="005A1636">
      <w:pPr>
        <w:spacing w:after="80" w:line="360" w:lineRule="auto"/>
        <w:jc w:val="both"/>
        <w:rPr>
          <w:rFonts w:ascii="Arial" w:hAnsi="Arial" w:cs="Arial"/>
          <w:sz w:val="24"/>
          <w:szCs w:val="24"/>
        </w:rPr>
      </w:pPr>
      <w:r w:rsidRPr="001B31FA">
        <w:rPr>
          <w:rFonts w:ascii="Arial" w:hAnsi="Arial" w:cs="Arial"/>
          <w:b/>
          <w:bCs/>
          <w:color w:val="2C5F8A"/>
          <w:sz w:val="24"/>
          <w:szCs w:val="24"/>
        </w:rPr>
        <w:t>Fazy cyklu życia systemu AI</w:t>
      </w:r>
    </w:p>
    <w:p w14:paraId="42111042" w14:textId="77777777" w:rsidR="005A1636" w:rsidRPr="001B31FA" w:rsidRDefault="005A1636" w:rsidP="005A1636">
      <w:pPr>
        <w:spacing w:after="120" w:line="360" w:lineRule="auto"/>
        <w:jc w:val="both"/>
        <w:rPr>
          <w:rFonts w:ascii="Arial" w:hAnsi="Arial" w:cs="Arial"/>
          <w:sz w:val="24"/>
          <w:szCs w:val="24"/>
        </w:rPr>
      </w:pPr>
      <w:r w:rsidRPr="001B31FA">
        <w:rPr>
          <w:rFonts w:ascii="Arial" w:hAnsi="Arial" w:cs="Arial"/>
          <w:sz w:val="24"/>
          <w:szCs w:val="24"/>
        </w:rPr>
        <w:t>Każde pytanie oznaczono symbolem fazy, w której ma ono znaczenie: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800"/>
        <w:gridCol w:w="5638"/>
      </w:tblGrid>
      <w:tr w:rsidR="005A1636" w:rsidRPr="001B31FA" w14:paraId="74994D82" w14:textId="77777777" w:rsidTr="002B4C9B">
        <w:tc>
          <w:tcPr>
            <w:tcW w:w="1200"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23A983C7" w14:textId="77777777" w:rsidR="005A1636" w:rsidRPr="001B31FA" w:rsidRDefault="005A1636" w:rsidP="002B4C9B">
            <w:pPr>
              <w:spacing w:line="360" w:lineRule="auto"/>
              <w:jc w:val="both"/>
              <w:rPr>
                <w:rFonts w:ascii="Arial" w:hAnsi="Arial" w:cs="Arial"/>
                <w:sz w:val="24"/>
                <w:szCs w:val="24"/>
              </w:rPr>
            </w:pPr>
            <w:r w:rsidRPr="001B31FA">
              <w:rPr>
                <w:rFonts w:ascii="Arial" w:hAnsi="Arial" w:cs="Arial"/>
                <w:b/>
                <w:bCs/>
                <w:color w:val="FFFFFF"/>
                <w:sz w:val="24"/>
                <w:szCs w:val="24"/>
              </w:rPr>
              <w:t>Symbol</w:t>
            </w:r>
          </w:p>
        </w:tc>
        <w:tc>
          <w:tcPr>
            <w:tcW w:w="2800"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39312DEE" w14:textId="77777777" w:rsidR="005A1636" w:rsidRPr="001B31FA" w:rsidRDefault="005A1636" w:rsidP="002B4C9B">
            <w:pPr>
              <w:spacing w:line="360" w:lineRule="auto"/>
              <w:jc w:val="both"/>
              <w:rPr>
                <w:rFonts w:ascii="Arial" w:hAnsi="Arial" w:cs="Arial"/>
                <w:sz w:val="24"/>
                <w:szCs w:val="24"/>
              </w:rPr>
            </w:pPr>
            <w:r w:rsidRPr="001B31FA">
              <w:rPr>
                <w:rFonts w:ascii="Arial" w:hAnsi="Arial" w:cs="Arial"/>
                <w:b/>
                <w:bCs/>
                <w:color w:val="FFFFFF"/>
                <w:sz w:val="24"/>
                <w:szCs w:val="24"/>
              </w:rPr>
              <w:t>Faza</w:t>
            </w:r>
          </w:p>
        </w:tc>
        <w:tc>
          <w:tcPr>
            <w:tcW w:w="5638"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2EBBC5A0" w14:textId="77777777" w:rsidR="005A1636" w:rsidRPr="001B31FA" w:rsidRDefault="005A1636" w:rsidP="002B4C9B">
            <w:pPr>
              <w:spacing w:line="360" w:lineRule="auto"/>
              <w:jc w:val="both"/>
              <w:rPr>
                <w:rFonts w:ascii="Arial" w:hAnsi="Arial" w:cs="Arial"/>
                <w:sz w:val="24"/>
                <w:szCs w:val="24"/>
              </w:rPr>
            </w:pPr>
            <w:r w:rsidRPr="001B31FA">
              <w:rPr>
                <w:rFonts w:ascii="Arial" w:hAnsi="Arial" w:cs="Arial"/>
                <w:b/>
                <w:bCs/>
                <w:color w:val="FFFFFF"/>
                <w:sz w:val="24"/>
                <w:szCs w:val="24"/>
              </w:rPr>
              <w:t>Opis</w:t>
            </w:r>
          </w:p>
        </w:tc>
      </w:tr>
      <w:tr w:rsidR="005A1636" w:rsidRPr="001B31FA" w14:paraId="1F2E34BF" w14:textId="77777777" w:rsidTr="002B4C9B">
        <w:tc>
          <w:tcPr>
            <w:tcW w:w="1200"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383F71E2" w14:textId="77777777" w:rsidR="005A1636" w:rsidRPr="001B31FA" w:rsidRDefault="005A1636" w:rsidP="002B4C9B">
            <w:pPr>
              <w:spacing w:line="276" w:lineRule="auto"/>
              <w:jc w:val="both"/>
              <w:rPr>
                <w:rFonts w:ascii="Arial" w:hAnsi="Arial" w:cs="Arial"/>
                <w:sz w:val="24"/>
                <w:szCs w:val="24"/>
              </w:rPr>
            </w:pPr>
            <w:r w:rsidRPr="001B31FA">
              <w:rPr>
                <w:rFonts w:ascii="Arial" w:hAnsi="Arial" w:cs="Arial"/>
                <w:b/>
                <w:bCs/>
                <w:sz w:val="24"/>
                <w:szCs w:val="24"/>
              </w:rPr>
              <w:t>[T]</w:t>
            </w:r>
          </w:p>
        </w:tc>
        <w:tc>
          <w:tcPr>
            <w:tcW w:w="2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00B61A" w14:textId="77777777" w:rsidR="005A1636" w:rsidRPr="001B31FA" w:rsidRDefault="005A1636" w:rsidP="002B4C9B">
            <w:pPr>
              <w:spacing w:line="276" w:lineRule="auto"/>
              <w:jc w:val="both"/>
              <w:rPr>
                <w:rFonts w:ascii="Arial" w:hAnsi="Arial" w:cs="Arial"/>
                <w:sz w:val="24"/>
                <w:szCs w:val="24"/>
              </w:rPr>
            </w:pPr>
            <w:r w:rsidRPr="001B31FA">
              <w:rPr>
                <w:rFonts w:ascii="Arial" w:hAnsi="Arial" w:cs="Arial"/>
                <w:b/>
                <w:bCs/>
                <w:sz w:val="24"/>
                <w:szCs w:val="24"/>
              </w:rPr>
              <w:t>Trenowanie / Rozwój</w:t>
            </w:r>
          </w:p>
        </w:tc>
        <w:tc>
          <w:tcPr>
            <w:tcW w:w="5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56FCD4" w14:textId="77777777" w:rsidR="005A1636" w:rsidRPr="001B31FA" w:rsidRDefault="005A1636" w:rsidP="002B4C9B">
            <w:pPr>
              <w:spacing w:line="276" w:lineRule="auto"/>
              <w:rPr>
                <w:rFonts w:ascii="Arial" w:hAnsi="Arial" w:cs="Arial"/>
                <w:sz w:val="24"/>
                <w:szCs w:val="24"/>
              </w:rPr>
            </w:pPr>
            <w:r w:rsidRPr="001B31FA">
              <w:rPr>
                <w:rFonts w:ascii="Arial" w:hAnsi="Arial" w:cs="Arial"/>
                <w:sz w:val="24"/>
                <w:szCs w:val="24"/>
              </w:rPr>
              <w:t>Opracowywanie i trenowanie modelu AI: dane treningowe, budowa modelu, testowanie.</w:t>
            </w:r>
          </w:p>
        </w:tc>
      </w:tr>
      <w:tr w:rsidR="005A1636" w:rsidRPr="001B31FA" w14:paraId="64127532" w14:textId="77777777" w:rsidTr="002B4C9B">
        <w:tc>
          <w:tcPr>
            <w:tcW w:w="1200"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4AAA5429" w14:textId="77777777" w:rsidR="005A1636" w:rsidRPr="001B31FA" w:rsidRDefault="005A1636" w:rsidP="002B4C9B">
            <w:pPr>
              <w:spacing w:line="276" w:lineRule="auto"/>
              <w:jc w:val="both"/>
              <w:rPr>
                <w:rFonts w:ascii="Arial" w:hAnsi="Arial" w:cs="Arial"/>
                <w:sz w:val="24"/>
                <w:szCs w:val="24"/>
              </w:rPr>
            </w:pPr>
            <w:r w:rsidRPr="001B31FA">
              <w:rPr>
                <w:rFonts w:ascii="Arial" w:hAnsi="Arial" w:cs="Arial"/>
                <w:b/>
                <w:bCs/>
                <w:sz w:val="24"/>
                <w:szCs w:val="24"/>
              </w:rPr>
              <w:t>[W]</w:t>
            </w:r>
          </w:p>
        </w:tc>
        <w:tc>
          <w:tcPr>
            <w:tcW w:w="2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6B7B65" w14:textId="77777777" w:rsidR="005A1636" w:rsidRPr="001B31FA" w:rsidRDefault="005A1636" w:rsidP="002B4C9B">
            <w:pPr>
              <w:spacing w:line="276" w:lineRule="auto"/>
              <w:jc w:val="both"/>
              <w:rPr>
                <w:rFonts w:ascii="Arial" w:hAnsi="Arial" w:cs="Arial"/>
                <w:sz w:val="24"/>
                <w:szCs w:val="24"/>
              </w:rPr>
            </w:pPr>
            <w:r w:rsidRPr="001B31FA">
              <w:rPr>
                <w:rFonts w:ascii="Arial" w:hAnsi="Arial" w:cs="Arial"/>
                <w:b/>
                <w:bCs/>
                <w:sz w:val="24"/>
                <w:szCs w:val="24"/>
              </w:rPr>
              <w:t>Wdrożenie / Użycie</w:t>
            </w:r>
          </w:p>
        </w:tc>
        <w:tc>
          <w:tcPr>
            <w:tcW w:w="5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6984A4" w14:textId="77777777" w:rsidR="005A1636" w:rsidRPr="001B31FA" w:rsidRDefault="005A1636" w:rsidP="002B4C9B">
            <w:pPr>
              <w:spacing w:line="276" w:lineRule="auto"/>
              <w:rPr>
                <w:rFonts w:ascii="Arial" w:hAnsi="Arial" w:cs="Arial"/>
                <w:sz w:val="24"/>
                <w:szCs w:val="24"/>
              </w:rPr>
            </w:pPr>
            <w:r w:rsidRPr="001B31FA">
              <w:rPr>
                <w:rFonts w:ascii="Arial" w:hAnsi="Arial" w:cs="Arial"/>
                <w:sz w:val="24"/>
                <w:szCs w:val="24"/>
              </w:rPr>
              <w:t>Wdrażanie gotowego systemu AI bez trenowania: konfiguracja, integracja, codzienne użycie.</w:t>
            </w:r>
          </w:p>
        </w:tc>
      </w:tr>
      <w:tr w:rsidR="005A1636" w:rsidRPr="001B31FA" w14:paraId="7945FD77" w14:textId="77777777" w:rsidTr="002B4C9B">
        <w:tc>
          <w:tcPr>
            <w:tcW w:w="1200"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326F567" w14:textId="77777777" w:rsidR="005A1636" w:rsidRPr="001B31FA" w:rsidRDefault="005A1636" w:rsidP="002B4C9B">
            <w:pPr>
              <w:spacing w:line="276" w:lineRule="auto"/>
              <w:jc w:val="both"/>
              <w:rPr>
                <w:rFonts w:ascii="Arial" w:hAnsi="Arial" w:cs="Arial"/>
                <w:sz w:val="24"/>
                <w:szCs w:val="24"/>
              </w:rPr>
            </w:pPr>
            <w:r w:rsidRPr="001B31FA">
              <w:rPr>
                <w:rFonts w:ascii="Arial" w:hAnsi="Arial" w:cs="Arial"/>
                <w:b/>
                <w:bCs/>
                <w:sz w:val="24"/>
                <w:szCs w:val="24"/>
              </w:rPr>
              <w:t>[T+W]</w:t>
            </w:r>
          </w:p>
        </w:tc>
        <w:tc>
          <w:tcPr>
            <w:tcW w:w="2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A13C04" w14:textId="77777777" w:rsidR="005A1636" w:rsidRPr="001B31FA" w:rsidRDefault="005A1636" w:rsidP="002B4C9B">
            <w:pPr>
              <w:spacing w:line="276" w:lineRule="auto"/>
              <w:jc w:val="both"/>
              <w:rPr>
                <w:rFonts w:ascii="Arial" w:hAnsi="Arial" w:cs="Arial"/>
                <w:sz w:val="24"/>
                <w:szCs w:val="24"/>
              </w:rPr>
            </w:pPr>
            <w:r w:rsidRPr="001B31FA">
              <w:rPr>
                <w:rFonts w:ascii="Arial" w:hAnsi="Arial" w:cs="Arial"/>
                <w:b/>
                <w:bCs/>
                <w:sz w:val="24"/>
                <w:szCs w:val="24"/>
              </w:rPr>
              <w:t>Obie fazy</w:t>
            </w:r>
          </w:p>
        </w:tc>
        <w:tc>
          <w:tcPr>
            <w:tcW w:w="5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887038" w14:textId="77777777" w:rsidR="005A1636" w:rsidRPr="001B31FA" w:rsidRDefault="005A1636" w:rsidP="002B4C9B">
            <w:pPr>
              <w:spacing w:line="276" w:lineRule="auto"/>
              <w:rPr>
                <w:rFonts w:ascii="Arial" w:hAnsi="Arial" w:cs="Arial"/>
                <w:sz w:val="24"/>
                <w:szCs w:val="24"/>
              </w:rPr>
            </w:pPr>
            <w:r w:rsidRPr="001B31FA">
              <w:rPr>
                <w:rFonts w:ascii="Arial" w:hAnsi="Arial" w:cs="Arial"/>
                <w:sz w:val="24"/>
                <w:szCs w:val="24"/>
              </w:rPr>
              <w:t xml:space="preserve">Kwestie wspólne: role RODO, rejestr czynności przetwarzania, IOD, data </w:t>
            </w:r>
            <w:proofErr w:type="spellStart"/>
            <w:r w:rsidRPr="001B31FA">
              <w:rPr>
                <w:rFonts w:ascii="Arial" w:hAnsi="Arial" w:cs="Arial"/>
                <w:sz w:val="24"/>
                <w:szCs w:val="24"/>
              </w:rPr>
              <w:t>protection</w:t>
            </w:r>
            <w:proofErr w:type="spellEnd"/>
            <w:r w:rsidRPr="001B31FA">
              <w:rPr>
                <w:rFonts w:ascii="Arial" w:hAnsi="Arial" w:cs="Arial"/>
                <w:sz w:val="24"/>
                <w:szCs w:val="24"/>
              </w:rPr>
              <w:t xml:space="preserve"> by design/</w:t>
            </w:r>
            <w:proofErr w:type="spellStart"/>
            <w:r w:rsidRPr="001B31FA">
              <w:rPr>
                <w:rFonts w:ascii="Arial" w:hAnsi="Arial" w:cs="Arial"/>
                <w:sz w:val="24"/>
                <w:szCs w:val="24"/>
              </w:rPr>
              <w:t>default</w:t>
            </w:r>
            <w:proofErr w:type="spellEnd"/>
            <w:r w:rsidRPr="001B31FA">
              <w:rPr>
                <w:rFonts w:ascii="Arial" w:hAnsi="Arial" w:cs="Arial"/>
                <w:sz w:val="24"/>
                <w:szCs w:val="24"/>
              </w:rPr>
              <w:t>, DPIA, bezpieczeństwo.</w:t>
            </w:r>
          </w:p>
        </w:tc>
      </w:tr>
    </w:tbl>
    <w:p w14:paraId="0D19B85E" w14:textId="77777777" w:rsidR="005A1636" w:rsidRPr="001B31FA" w:rsidRDefault="005A1636" w:rsidP="005A1636">
      <w:pPr>
        <w:spacing w:after="200" w:line="360" w:lineRule="auto"/>
        <w:jc w:val="both"/>
        <w:rPr>
          <w:rFonts w:ascii="Arial" w:hAnsi="Arial" w:cs="Arial"/>
          <w:sz w:val="24"/>
          <w:szCs w:val="24"/>
        </w:rPr>
      </w:pPr>
    </w:p>
    <w:p w14:paraId="2EC2A49F" w14:textId="77777777" w:rsidR="005A1636" w:rsidRPr="001B31FA" w:rsidRDefault="005A1636" w:rsidP="005A1636">
      <w:pPr>
        <w:spacing w:after="80" w:line="360" w:lineRule="auto"/>
        <w:jc w:val="both"/>
        <w:rPr>
          <w:rFonts w:ascii="Arial" w:hAnsi="Arial" w:cs="Arial"/>
          <w:sz w:val="24"/>
          <w:szCs w:val="24"/>
        </w:rPr>
      </w:pPr>
      <w:r w:rsidRPr="001B31FA">
        <w:rPr>
          <w:rFonts w:ascii="Arial" w:hAnsi="Arial" w:cs="Arial"/>
          <w:b/>
          <w:bCs/>
          <w:color w:val="2C5F8A"/>
          <w:sz w:val="24"/>
          <w:szCs w:val="24"/>
        </w:rPr>
        <w:t>Pytania wstępne o zasadność wdrożenia</w:t>
      </w:r>
    </w:p>
    <w:p w14:paraId="7C32439F" w14:textId="709F5C99" w:rsidR="005A1636" w:rsidRPr="001B31FA" w:rsidRDefault="005A1636" w:rsidP="005A1636">
      <w:pPr>
        <w:spacing w:after="120" w:line="360" w:lineRule="auto"/>
        <w:jc w:val="both"/>
        <w:rPr>
          <w:rFonts w:ascii="Arial" w:hAnsi="Arial" w:cs="Arial"/>
          <w:sz w:val="24"/>
          <w:szCs w:val="24"/>
        </w:rPr>
      </w:pPr>
      <w:r w:rsidRPr="001B31FA">
        <w:rPr>
          <w:rFonts w:ascii="Arial" w:hAnsi="Arial" w:cs="Arial"/>
          <w:sz w:val="24"/>
          <w:szCs w:val="24"/>
        </w:rPr>
        <w:t>Lista rozpoczyna się od pytań o zasadność wdrożenia systemu AI. Pozwalają one ustalić, czy korzyści z budowy lub wdrożenia systemu przewyższają związane z nim ryzyka. Dotyczą w szczególności: adekwatności AI do natury rozwiązywanego problemu, zdolności systemu do spełnienia potrzeb organizacji, sprawiedliwości wpływu systemu na różne grupy osób, jakości i reprezentatywności dostępnych danych, wystarczalności zasobów ludzkich i materialnych oraz ryzyka użycia systemu poza jego przeznaczeniem.</w:t>
      </w:r>
    </w:p>
    <w:p w14:paraId="2F591F20" w14:textId="1B920747" w:rsidR="005A1636" w:rsidRDefault="005A1636" w:rsidP="005A1636">
      <w:pPr>
        <w:spacing w:after="120" w:line="360" w:lineRule="auto"/>
        <w:jc w:val="both"/>
        <w:rPr>
          <w:rFonts w:ascii="Arial" w:hAnsi="Arial" w:cs="Arial"/>
          <w:sz w:val="24"/>
          <w:szCs w:val="24"/>
        </w:rPr>
      </w:pPr>
      <w:r w:rsidRPr="001B31FA">
        <w:rPr>
          <w:rFonts w:ascii="Arial" w:hAnsi="Arial" w:cs="Arial"/>
          <w:sz w:val="24"/>
          <w:szCs w:val="24"/>
        </w:rPr>
        <w:t>Pytania te pełnią funkcję komplementarną wobec pytań o zgodność – ustalają kontekst decyzyjny, z którego wynikają konsekwencje zarówno projektowe, jak i regulacyjne.</w:t>
      </w:r>
    </w:p>
    <w:p w14:paraId="4C2DFB12" w14:textId="1B05B7EF" w:rsidR="00590A38" w:rsidRDefault="00590A38" w:rsidP="005A1636">
      <w:pPr>
        <w:spacing w:after="120" w:line="360" w:lineRule="auto"/>
        <w:jc w:val="both"/>
        <w:rPr>
          <w:rFonts w:ascii="Arial" w:hAnsi="Arial" w:cs="Arial"/>
          <w:sz w:val="24"/>
          <w:szCs w:val="24"/>
        </w:rPr>
      </w:pPr>
    </w:p>
    <w:p w14:paraId="456E0FDC" w14:textId="2A634211" w:rsidR="00590A38" w:rsidRDefault="00590A38" w:rsidP="005A1636">
      <w:pPr>
        <w:spacing w:after="120" w:line="360" w:lineRule="auto"/>
        <w:jc w:val="both"/>
        <w:rPr>
          <w:rFonts w:ascii="Arial" w:hAnsi="Arial" w:cs="Arial"/>
          <w:sz w:val="24"/>
          <w:szCs w:val="24"/>
        </w:rPr>
      </w:pPr>
    </w:p>
    <w:p w14:paraId="3CEA432B" w14:textId="77777777" w:rsidR="00590A38" w:rsidRPr="001B31FA" w:rsidRDefault="00590A38" w:rsidP="005A1636">
      <w:pPr>
        <w:spacing w:after="120" w:line="360" w:lineRule="auto"/>
        <w:jc w:val="both"/>
        <w:rPr>
          <w:rFonts w:ascii="Arial" w:hAnsi="Arial" w:cs="Arial"/>
          <w:sz w:val="24"/>
          <w:szCs w:val="24"/>
        </w:rPr>
      </w:pPr>
    </w:p>
    <w:p w14:paraId="090BEBEA" w14:textId="77777777" w:rsidR="005A1636" w:rsidRPr="001B31FA" w:rsidRDefault="005A1636" w:rsidP="005A1636">
      <w:pPr>
        <w:spacing w:after="80" w:line="360" w:lineRule="auto"/>
        <w:jc w:val="both"/>
        <w:rPr>
          <w:rFonts w:ascii="Arial" w:hAnsi="Arial" w:cs="Arial"/>
          <w:sz w:val="24"/>
          <w:szCs w:val="24"/>
        </w:rPr>
      </w:pPr>
      <w:r w:rsidRPr="001B31FA">
        <w:rPr>
          <w:rFonts w:ascii="Arial" w:hAnsi="Arial" w:cs="Arial"/>
          <w:b/>
          <w:bCs/>
          <w:color w:val="2C5F8A"/>
          <w:sz w:val="24"/>
          <w:szCs w:val="24"/>
        </w:rPr>
        <w:lastRenderedPageBreak/>
        <w:t>Przeznaczenie listy i sposób jej wypełnienia</w:t>
      </w:r>
    </w:p>
    <w:p w14:paraId="296628F4" w14:textId="77777777" w:rsidR="005A1636" w:rsidRPr="001B31FA" w:rsidRDefault="005A1636" w:rsidP="005A1636">
      <w:pPr>
        <w:spacing w:after="80" w:line="360" w:lineRule="auto"/>
        <w:jc w:val="both"/>
        <w:rPr>
          <w:rFonts w:ascii="Arial" w:hAnsi="Arial" w:cs="Arial"/>
          <w:sz w:val="24"/>
          <w:szCs w:val="24"/>
        </w:rPr>
      </w:pPr>
      <w:r w:rsidRPr="001B31FA">
        <w:rPr>
          <w:rFonts w:ascii="Arial" w:hAnsi="Arial" w:cs="Arial"/>
          <w:sz w:val="24"/>
          <w:szCs w:val="24"/>
        </w:rPr>
        <w:t xml:space="preserve">Lista rozbudowana stanowi drugi krok po </w:t>
      </w:r>
      <w:r w:rsidRPr="001B31FA">
        <w:rPr>
          <w:rFonts w:ascii="Arial" w:hAnsi="Arial" w:cs="Arial"/>
          <w:color w:val="000000" w:themeColor="text1"/>
          <w:sz w:val="24"/>
          <w:szCs w:val="24"/>
        </w:rPr>
        <w:t>listach z poziomu wejściowego</w:t>
      </w:r>
      <w:r w:rsidRPr="001B31FA">
        <w:rPr>
          <w:rFonts w:ascii="Arial" w:hAnsi="Arial" w:cs="Arial"/>
          <w:sz w:val="24"/>
          <w:szCs w:val="24"/>
        </w:rPr>
        <w:t xml:space="preserve"> . Obejmuje wymogi RODO oraz sygnalizacyjnie wymogi AI </w:t>
      </w:r>
      <w:proofErr w:type="spellStart"/>
      <w:r w:rsidRPr="001B31FA">
        <w:rPr>
          <w:rFonts w:ascii="Arial" w:hAnsi="Arial" w:cs="Arial"/>
          <w:sz w:val="24"/>
          <w:szCs w:val="24"/>
        </w:rPr>
        <w:t>Act</w:t>
      </w:r>
      <w:proofErr w:type="spellEnd"/>
      <w:r w:rsidRPr="001B31FA">
        <w:rPr>
          <w:rFonts w:ascii="Arial" w:hAnsi="Arial" w:cs="Arial"/>
          <w:sz w:val="24"/>
          <w:szCs w:val="24"/>
        </w:rPr>
        <w:t xml:space="preserve">. Jej celem jest zebranie materiału niezbędnego do przeprowadzenia analizy ryzyka, oceny skutków dla ochrony danych (DPIA), a w odpowiednich przypadkach również oceny wpływu na prawa podstawowe (FRIA). Od </w:t>
      </w:r>
      <w:r w:rsidRPr="001B31FA">
        <w:rPr>
          <w:rFonts w:ascii="Arial" w:hAnsi="Arial" w:cs="Arial"/>
          <w:color w:val="000000" w:themeColor="text1"/>
          <w:sz w:val="24"/>
          <w:szCs w:val="24"/>
        </w:rPr>
        <w:t>list z poziomu wejściowego</w:t>
      </w:r>
      <w:r w:rsidRPr="001B31FA">
        <w:rPr>
          <w:rFonts w:ascii="Arial" w:hAnsi="Arial" w:cs="Arial"/>
          <w:sz w:val="24"/>
          <w:szCs w:val="24"/>
        </w:rPr>
        <w:t xml:space="preserve"> różni się nie adresatem, lecz głębokością: te same zagadnienia rozstrzyga odrębnie dla fazy trenowania i fazy wdrożenia, osobno dla każdej podstawy prawnej, okresu retencji i kategorii danych.</w:t>
      </w:r>
    </w:p>
    <w:p w14:paraId="4F3DF447" w14:textId="50EE279E" w:rsidR="005A1636" w:rsidRDefault="005A1636" w:rsidP="005A1636">
      <w:pPr>
        <w:spacing w:after="80" w:line="360" w:lineRule="auto"/>
        <w:jc w:val="both"/>
        <w:rPr>
          <w:rFonts w:ascii="Arial" w:hAnsi="Arial" w:cs="Arial"/>
          <w:sz w:val="24"/>
          <w:szCs w:val="24"/>
        </w:rPr>
      </w:pPr>
      <w:r w:rsidRPr="001B31FA">
        <w:rPr>
          <w:rFonts w:ascii="Arial" w:hAnsi="Arial" w:cs="Arial"/>
          <w:sz w:val="24"/>
          <w:szCs w:val="24"/>
        </w:rPr>
        <w:t xml:space="preserve">Lista nie jest formularzem DPIA ani FRIA i ich nie zastępuje. Stanowi warstwę je poprzedzającą: porządkuje stan wiedzy organizacji o systemie, danych, dostawcy </w:t>
      </w:r>
      <w:r w:rsidR="001B31FA">
        <w:rPr>
          <w:rFonts w:ascii="Arial" w:hAnsi="Arial" w:cs="Arial"/>
          <w:sz w:val="24"/>
          <w:szCs w:val="24"/>
        </w:rPr>
        <w:br/>
      </w:r>
      <w:r w:rsidRPr="001B31FA">
        <w:rPr>
          <w:rFonts w:ascii="Arial" w:hAnsi="Arial" w:cs="Arial"/>
          <w:sz w:val="24"/>
          <w:szCs w:val="24"/>
        </w:rPr>
        <w:t xml:space="preserve">i rolach, bez którego obie oceny opierałyby się na założeniach. Lista nie zastępuje też analizy ryzyka. Jej wypełnienie stanowi natomiast materiał wejściowy do tych analiz. Wypełnienie listy nie jest równoznaczne z potwierdzeniem zgodności wdrożenia </w:t>
      </w:r>
      <w:r w:rsidR="001B31FA">
        <w:rPr>
          <w:rFonts w:ascii="Arial" w:hAnsi="Arial" w:cs="Arial"/>
          <w:sz w:val="24"/>
          <w:szCs w:val="24"/>
        </w:rPr>
        <w:br/>
      </w:r>
      <w:r w:rsidRPr="001B31FA">
        <w:rPr>
          <w:rFonts w:ascii="Arial" w:hAnsi="Arial" w:cs="Arial"/>
          <w:sz w:val="24"/>
          <w:szCs w:val="24"/>
        </w:rPr>
        <w:t xml:space="preserve">z RODO. Organizacja, która wie już, że wdrożenie dotyczy danych osobowych, </w:t>
      </w:r>
      <w:r w:rsidR="001B31FA">
        <w:rPr>
          <w:rFonts w:ascii="Arial" w:hAnsi="Arial" w:cs="Arial"/>
          <w:sz w:val="24"/>
          <w:szCs w:val="24"/>
        </w:rPr>
        <w:br/>
      </w:r>
      <w:r w:rsidRPr="001B31FA">
        <w:rPr>
          <w:rFonts w:ascii="Arial" w:hAnsi="Arial" w:cs="Arial"/>
          <w:sz w:val="24"/>
          <w:szCs w:val="24"/>
        </w:rPr>
        <w:t xml:space="preserve">i dysponuje funkcją </w:t>
      </w:r>
      <w:proofErr w:type="spellStart"/>
      <w:r w:rsidRPr="001B31FA">
        <w:rPr>
          <w:rFonts w:ascii="Arial" w:hAnsi="Arial" w:cs="Arial"/>
          <w:sz w:val="24"/>
          <w:szCs w:val="24"/>
        </w:rPr>
        <w:t>compliance</w:t>
      </w:r>
      <w:proofErr w:type="spellEnd"/>
      <w:r w:rsidRPr="001B31FA">
        <w:rPr>
          <w:rFonts w:ascii="Arial" w:hAnsi="Arial" w:cs="Arial"/>
          <w:sz w:val="24"/>
          <w:szCs w:val="24"/>
        </w:rPr>
        <w:t xml:space="preserve">, może rozpocząć od Wersji </w:t>
      </w:r>
      <w:r w:rsidRPr="001B31FA">
        <w:rPr>
          <w:rFonts w:ascii="Arial" w:hAnsi="Arial" w:cs="Arial"/>
          <w:color w:val="000000" w:themeColor="text1"/>
          <w:sz w:val="24"/>
          <w:szCs w:val="24"/>
        </w:rPr>
        <w:t>Rozszerzonej</w:t>
      </w:r>
      <w:r w:rsidRPr="001B31FA">
        <w:rPr>
          <w:rFonts w:ascii="Arial" w:hAnsi="Arial" w:cs="Arial"/>
          <w:sz w:val="24"/>
          <w:szCs w:val="24"/>
        </w:rPr>
        <w:t>; wypełnianie Wersji 0 jest wtedy zbędne.</w:t>
      </w:r>
    </w:p>
    <w:p w14:paraId="5B72C93D" w14:textId="77777777" w:rsidR="00CA3041" w:rsidRPr="00590A38" w:rsidRDefault="00CA3041" w:rsidP="005A1636">
      <w:pPr>
        <w:spacing w:after="80" w:line="360" w:lineRule="auto"/>
        <w:jc w:val="both"/>
        <w:rPr>
          <w:rFonts w:ascii="Arial" w:hAnsi="Arial" w:cs="Arial"/>
          <w:sz w:val="12"/>
          <w:szCs w:val="12"/>
        </w:rPr>
      </w:pPr>
    </w:p>
    <w:p w14:paraId="70DBABD2" w14:textId="77777777" w:rsidR="005A1636" w:rsidRPr="001B31FA" w:rsidRDefault="005A1636" w:rsidP="005A1636">
      <w:pPr>
        <w:spacing w:after="80" w:line="360" w:lineRule="auto"/>
        <w:jc w:val="both"/>
        <w:rPr>
          <w:rFonts w:ascii="Arial" w:hAnsi="Arial" w:cs="Arial"/>
          <w:sz w:val="24"/>
          <w:szCs w:val="24"/>
        </w:rPr>
      </w:pPr>
      <w:r w:rsidRPr="001B31FA">
        <w:rPr>
          <w:rFonts w:ascii="Arial" w:hAnsi="Arial" w:cs="Arial"/>
          <w:b/>
          <w:bCs/>
          <w:color w:val="2C5F8A"/>
          <w:sz w:val="24"/>
          <w:szCs w:val="24"/>
        </w:rPr>
        <w:t>Instrukcja wypełniania</w:t>
      </w:r>
    </w:p>
    <w:p w14:paraId="365B94DF"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Listę wypełnia się odrębnie dla każdego procesu, w którym system AI ma być tworzony lub wykorzystywany, a przy systemach wielofunkcyjnych, odrębnie dla każdej funkcji o odmiennym profilu ryzyka.</w:t>
      </w:r>
    </w:p>
    <w:p w14:paraId="726AF2F8"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 xml:space="preserve">Wypełnienie koordynuje właściciel biznesowy procesu przy udziale inspektor ochrony danych lub osoby odpowiedzialnej za </w:t>
      </w:r>
      <w:proofErr w:type="spellStart"/>
      <w:r w:rsidRPr="001B31FA">
        <w:rPr>
          <w:sz w:val="24"/>
          <w:szCs w:val="24"/>
        </w:rPr>
        <w:t>compliance</w:t>
      </w:r>
      <w:proofErr w:type="spellEnd"/>
      <w:r w:rsidRPr="001B31FA">
        <w:rPr>
          <w:sz w:val="24"/>
          <w:szCs w:val="24"/>
        </w:rPr>
        <w:t xml:space="preserve"> oraz osoby odpowiedzialnej za system informatyczny.</w:t>
      </w:r>
    </w:p>
    <w:p w14:paraId="0BF80AA2" w14:textId="11D3A41D"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 xml:space="preserve">Przy systemach </w:t>
      </w:r>
      <w:proofErr w:type="spellStart"/>
      <w:r w:rsidRPr="001B31FA">
        <w:rPr>
          <w:sz w:val="24"/>
          <w:szCs w:val="24"/>
        </w:rPr>
        <w:t>dotrenowywanych</w:t>
      </w:r>
      <w:proofErr w:type="spellEnd"/>
      <w:r w:rsidRPr="001B31FA">
        <w:rPr>
          <w:sz w:val="24"/>
          <w:szCs w:val="24"/>
        </w:rPr>
        <w:t xml:space="preserve"> na danych organizacji pytania oznaczone [T] </w:t>
      </w:r>
      <w:r w:rsidR="00590A38">
        <w:rPr>
          <w:sz w:val="24"/>
          <w:szCs w:val="24"/>
        </w:rPr>
        <w:br/>
      </w:r>
      <w:r w:rsidRPr="001B31FA">
        <w:rPr>
          <w:sz w:val="24"/>
          <w:szCs w:val="24"/>
        </w:rPr>
        <w:t xml:space="preserve">i [W] wypełnia się rozdzielnie dla każdej fazy. Podstawa prawna, zakres danych </w:t>
      </w:r>
      <w:r w:rsidR="00590A38">
        <w:rPr>
          <w:sz w:val="24"/>
          <w:szCs w:val="24"/>
        </w:rPr>
        <w:br/>
      </w:r>
      <w:r w:rsidRPr="001B31FA">
        <w:rPr>
          <w:sz w:val="24"/>
          <w:szCs w:val="24"/>
        </w:rPr>
        <w:t>i okresy retencji mogą się w obu fazach różnić.</w:t>
      </w:r>
    </w:p>
    <w:p w14:paraId="45BCAA1D"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Jeżeli pytanie nie dotyczy danego przypadku, wybiera się „WYJAŚNIJ” i wpisuje powód w kolumnie „Działanie”. Odpowiedź „WYJAŚNIJ” bez wpisanego wyjaśnienia traktuje się jak brak odpowiedzi.</w:t>
      </w:r>
    </w:p>
    <w:p w14:paraId="71D6FC64"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Pole odpowiedzi pozostawione puste oznacza lukę informacyjną, którą odnotowuje się w kolumnie „Działanie” wraz z osobą odpowiedzialną i terminem. Kolumna „Wyjaśnienie / Źródło” wskazuje, gdzie szukać odpowiedzi.</w:t>
      </w:r>
    </w:p>
    <w:p w14:paraId="5F9D6AB5"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lastRenderedPageBreak/>
        <w:t xml:space="preserve">Sekcję 10 (sygnalizacja AI </w:t>
      </w:r>
      <w:proofErr w:type="spellStart"/>
      <w:r w:rsidRPr="001B31FA">
        <w:rPr>
          <w:sz w:val="24"/>
          <w:szCs w:val="24"/>
        </w:rPr>
        <w:t>Act</w:t>
      </w:r>
      <w:proofErr w:type="spellEnd"/>
      <w:r w:rsidRPr="001B31FA">
        <w:rPr>
          <w:sz w:val="24"/>
          <w:szCs w:val="24"/>
        </w:rPr>
        <w:t xml:space="preserve">) należy skonsultować z osobą znającą przepisy AI </w:t>
      </w:r>
      <w:proofErr w:type="spellStart"/>
      <w:r w:rsidRPr="001B31FA">
        <w:rPr>
          <w:sz w:val="24"/>
          <w:szCs w:val="24"/>
        </w:rPr>
        <w:t>Act</w:t>
      </w:r>
      <w:proofErr w:type="spellEnd"/>
      <w:r w:rsidRPr="001B31FA">
        <w:rPr>
          <w:sz w:val="24"/>
          <w:szCs w:val="24"/>
        </w:rPr>
        <w:t>. Pytania w tej sekcji mają charakter sygnalizacyjny i nie zastępują pełnej klasyfikacji systemu.</w:t>
      </w:r>
    </w:p>
    <w:p w14:paraId="35138EA0"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Wypełnioną listę zachowuje się jako element dokumentacji rozliczalności (art. 5 ust. 2 RODO) i punkt odniesienia przy weryfikacji wdrożenia oraz przy każdej istotnej zmianie systemu lub sposobu jego wykorzystania.</w:t>
      </w:r>
    </w:p>
    <w:p w14:paraId="4A53670B"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Wypełnianie listy kończy się, gdy przy każdym pytaniu jest odpowiedź, a tam, gdzie odpowiedź ujawnia potrzebę działania, w kolumnie „Działanie” wpisano zadanie, osobę odpowiedzialną i termin.</w:t>
      </w:r>
    </w:p>
    <w:p w14:paraId="7CA4DF71"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Zadania nie są równorzędne. Zadania dotyczące warunków legalności przetwarzania tj. w szczególności ustalenia podstawy prawnej odrębnie dla fazy trenowania i wdrożenia, przesłanki przetwarzania danych szczególnych kategorii, powierzenia przetwarzania, podstawy przekazania danych poza EOG, obowiązku informacyjnego, nadzoru człowieka nad decyzjami wywołującymi skutki prawne, oceny skutków dla ochrony danych oraz przy systemie wysokiego ryzyka oceny wpływu na prawa podstawowe, wykonuje się przed rozpoczęciem przetwarzania. Decyzji o wdrożeniu nie podejmuje się, dopóki nie zostaną wykonane.</w:t>
      </w:r>
    </w:p>
    <w:p w14:paraId="5C1CF912" w14:textId="77777777"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 xml:space="preserve">Zadania dotyczące środków organizacyjnych np. szkoleń i kompetencji w zakresie AI (art. 4 AI </w:t>
      </w:r>
      <w:proofErr w:type="spellStart"/>
      <w:r w:rsidRPr="001B31FA">
        <w:rPr>
          <w:sz w:val="24"/>
          <w:szCs w:val="24"/>
        </w:rPr>
        <w:t>Act</w:t>
      </w:r>
      <w:proofErr w:type="spellEnd"/>
      <w:r w:rsidRPr="001B31FA">
        <w:rPr>
          <w:sz w:val="24"/>
          <w:szCs w:val="24"/>
        </w:rPr>
        <w:t>), polityki AI, procedur reagowania na incydenty, procedur zarządzania danymi, dokumentacji technicznej, mogą być realizowane równolegle z wdrożeniem, w terminach wskazanych w kolumnie „Działanie”, o ile ryzyko w tym czasie pozostaje kontrolowane.</w:t>
      </w:r>
    </w:p>
    <w:p w14:paraId="5E8C0DAA" w14:textId="5302D27A" w:rsidR="005A1636" w:rsidRPr="001B31FA" w:rsidRDefault="005A1636" w:rsidP="005A1636">
      <w:pPr>
        <w:pStyle w:val="Akapitzlist"/>
        <w:numPr>
          <w:ilvl w:val="0"/>
          <w:numId w:val="6"/>
        </w:numPr>
        <w:spacing w:after="40" w:line="360" w:lineRule="auto"/>
        <w:jc w:val="both"/>
        <w:rPr>
          <w:sz w:val="24"/>
          <w:szCs w:val="24"/>
        </w:rPr>
      </w:pPr>
      <w:r w:rsidRPr="001B31FA">
        <w:rPr>
          <w:sz w:val="24"/>
          <w:szCs w:val="24"/>
        </w:rPr>
        <w:t xml:space="preserve">Odrębną kategorię stanowią sytuacje, w których wdrożenie w zaplanowanym kształcie jest niedopuszczalne np. w pełni zautomatyzowana decyzja wywołująca skutki prawne podejmowana automatycznie bez mechanizmu interwencji człowieka, czynność zastrzeżona przepisami dla człowieka, praktyka zakazana </w:t>
      </w:r>
      <w:r w:rsidR="0039430C">
        <w:rPr>
          <w:sz w:val="24"/>
          <w:szCs w:val="24"/>
        </w:rPr>
        <w:br/>
      </w:r>
      <w:r w:rsidRPr="001B31FA">
        <w:rPr>
          <w:sz w:val="24"/>
          <w:szCs w:val="24"/>
        </w:rPr>
        <w:t>w zakresie AI. Nie planuje się tu zadania z terminem. Konieczna jest zmiana konstrukcji procesu albo odstąpienie od wdrożenia.</w:t>
      </w:r>
    </w:p>
    <w:p w14:paraId="47FCD85A" w14:textId="50865F51" w:rsidR="008162F4" w:rsidRPr="001B31FA" w:rsidRDefault="008162F4">
      <w:pPr>
        <w:rPr>
          <w:rFonts w:ascii="Arial" w:hAnsi="Arial" w:cs="Arial"/>
        </w:rPr>
        <w:sectPr w:rsidR="008162F4" w:rsidRPr="001B31FA" w:rsidSect="00255DFC">
          <w:headerReference w:type="default" r:id="rId7"/>
          <w:pgSz w:w="11906" w:h="16838"/>
          <w:pgMar w:top="1417" w:right="1274" w:bottom="1417" w:left="1417" w:header="708" w:footer="708" w:gutter="0"/>
          <w:cols w:space="708"/>
          <w:docGrid w:linePitch="360"/>
        </w:sectPr>
      </w:pPr>
    </w:p>
    <w:tbl>
      <w:tblPr>
        <w:tblW w:w="15168"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3"/>
        <w:gridCol w:w="874"/>
        <w:gridCol w:w="2901"/>
        <w:gridCol w:w="2912"/>
        <w:gridCol w:w="2813"/>
        <w:gridCol w:w="5125"/>
      </w:tblGrid>
      <w:tr w:rsidR="005A1636" w:rsidRPr="001B31FA" w14:paraId="53E6911C" w14:textId="77777777" w:rsidTr="001B31FA">
        <w:trPr>
          <w:tblHeader/>
        </w:trPr>
        <w:tc>
          <w:tcPr>
            <w:tcW w:w="543"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3F545DE1" w14:textId="77777777" w:rsidR="005A1636" w:rsidRPr="001B31FA" w:rsidRDefault="005A1636" w:rsidP="002B4C9B">
            <w:pPr>
              <w:spacing w:line="276" w:lineRule="auto"/>
              <w:ind w:left="-8" w:firstLine="8"/>
              <w:jc w:val="center"/>
              <w:rPr>
                <w:rFonts w:ascii="Arial" w:hAnsi="Arial" w:cs="Arial"/>
                <w:sz w:val="24"/>
                <w:szCs w:val="24"/>
              </w:rPr>
            </w:pPr>
            <w:r w:rsidRPr="001B31FA">
              <w:rPr>
                <w:rFonts w:ascii="Arial" w:hAnsi="Arial" w:cs="Arial"/>
                <w:b/>
                <w:bCs/>
                <w:color w:val="FFFFFF"/>
                <w:sz w:val="24"/>
                <w:szCs w:val="24"/>
              </w:rPr>
              <w:lastRenderedPageBreak/>
              <w:t>Nr</w:t>
            </w:r>
          </w:p>
        </w:tc>
        <w:tc>
          <w:tcPr>
            <w:tcW w:w="874"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22A264EB" w14:textId="77777777" w:rsidR="005A1636" w:rsidRPr="001B31FA" w:rsidRDefault="005A1636" w:rsidP="002B4C9B">
            <w:pPr>
              <w:spacing w:line="276" w:lineRule="auto"/>
              <w:ind w:left="-8" w:firstLine="8"/>
              <w:jc w:val="center"/>
              <w:rPr>
                <w:rFonts w:ascii="Arial" w:hAnsi="Arial" w:cs="Arial"/>
                <w:sz w:val="24"/>
                <w:szCs w:val="24"/>
              </w:rPr>
            </w:pPr>
            <w:r w:rsidRPr="001B31FA">
              <w:rPr>
                <w:rFonts w:ascii="Arial" w:hAnsi="Arial" w:cs="Arial"/>
                <w:b/>
                <w:bCs/>
                <w:color w:val="FFFFFF"/>
                <w:sz w:val="24"/>
                <w:szCs w:val="24"/>
              </w:rPr>
              <w:t>Typ</w:t>
            </w:r>
          </w:p>
        </w:tc>
        <w:tc>
          <w:tcPr>
            <w:tcW w:w="2901"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4B065F97" w14:textId="77777777" w:rsidR="005A1636" w:rsidRPr="001B31FA" w:rsidRDefault="005A1636" w:rsidP="002B4C9B">
            <w:pPr>
              <w:spacing w:line="276" w:lineRule="auto"/>
              <w:ind w:left="-8" w:firstLine="8"/>
              <w:jc w:val="center"/>
              <w:rPr>
                <w:rFonts w:ascii="Arial" w:hAnsi="Arial" w:cs="Arial"/>
                <w:sz w:val="24"/>
                <w:szCs w:val="24"/>
              </w:rPr>
            </w:pPr>
            <w:r w:rsidRPr="001B31FA">
              <w:rPr>
                <w:rFonts w:ascii="Arial" w:hAnsi="Arial" w:cs="Arial"/>
                <w:b/>
                <w:bCs/>
                <w:color w:val="FFFFFF"/>
                <w:sz w:val="24"/>
                <w:szCs w:val="24"/>
              </w:rPr>
              <w:t>Pytanie</w:t>
            </w:r>
          </w:p>
        </w:tc>
        <w:tc>
          <w:tcPr>
            <w:tcW w:w="2912"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4E8E03FD" w14:textId="77777777" w:rsidR="005A1636" w:rsidRPr="001B31FA" w:rsidRDefault="005A1636" w:rsidP="002B4C9B">
            <w:pPr>
              <w:spacing w:line="276" w:lineRule="auto"/>
              <w:ind w:left="-8" w:firstLine="8"/>
              <w:jc w:val="center"/>
              <w:rPr>
                <w:rFonts w:ascii="Arial" w:hAnsi="Arial" w:cs="Arial"/>
                <w:sz w:val="24"/>
                <w:szCs w:val="24"/>
              </w:rPr>
            </w:pPr>
            <w:r w:rsidRPr="001B31FA">
              <w:rPr>
                <w:rFonts w:ascii="Arial" w:hAnsi="Arial" w:cs="Arial"/>
                <w:b/>
                <w:bCs/>
                <w:color w:val="FFFFFF"/>
                <w:sz w:val="24"/>
                <w:szCs w:val="24"/>
              </w:rPr>
              <w:t>Wyjaśnienie / Źródło</w:t>
            </w:r>
          </w:p>
        </w:tc>
        <w:tc>
          <w:tcPr>
            <w:tcW w:w="2813"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393BDC79" w14:textId="77777777" w:rsidR="005A1636" w:rsidRPr="001B31FA" w:rsidRDefault="005A1636" w:rsidP="002B4C9B">
            <w:pPr>
              <w:spacing w:line="276" w:lineRule="auto"/>
              <w:ind w:left="-8" w:firstLine="8"/>
              <w:jc w:val="center"/>
              <w:rPr>
                <w:rFonts w:ascii="Arial" w:hAnsi="Arial" w:cs="Arial"/>
                <w:sz w:val="24"/>
                <w:szCs w:val="24"/>
              </w:rPr>
            </w:pPr>
            <w:r w:rsidRPr="001B31FA">
              <w:rPr>
                <w:rFonts w:ascii="Arial" w:hAnsi="Arial" w:cs="Arial"/>
                <w:b/>
                <w:bCs/>
                <w:color w:val="FFFFFF"/>
                <w:sz w:val="24"/>
                <w:szCs w:val="24"/>
              </w:rPr>
              <w:t>Odpowiedź: TAK / NIE / WYJAŚNIJ</w:t>
            </w:r>
          </w:p>
        </w:tc>
        <w:tc>
          <w:tcPr>
            <w:tcW w:w="5125"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4885E672" w14:textId="77777777" w:rsidR="005A1636" w:rsidRPr="001B31FA" w:rsidRDefault="005A1636" w:rsidP="002B4C9B">
            <w:pPr>
              <w:spacing w:line="276" w:lineRule="auto"/>
              <w:ind w:left="-8" w:firstLine="8"/>
              <w:jc w:val="center"/>
              <w:rPr>
                <w:rFonts w:ascii="Arial" w:hAnsi="Arial" w:cs="Arial"/>
                <w:sz w:val="24"/>
                <w:szCs w:val="24"/>
              </w:rPr>
            </w:pPr>
            <w:r w:rsidRPr="001B31FA">
              <w:rPr>
                <w:rFonts w:ascii="Arial" w:hAnsi="Arial" w:cs="Arial"/>
                <w:b/>
                <w:bCs/>
                <w:color w:val="FFFFFF"/>
                <w:sz w:val="24"/>
                <w:szCs w:val="24"/>
              </w:rPr>
              <w:t>Działanie: zadanie, osoba odpowiedzialna, termin</w:t>
            </w:r>
          </w:p>
        </w:tc>
      </w:tr>
      <w:tr w:rsidR="005A1636" w:rsidRPr="001B31FA" w14:paraId="3FA87EEF" w14:textId="77777777" w:rsidTr="005A1636">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4F59B603"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1. CEL, ZASADNOŚĆ I KONTEKST WDROŻENIA</w:t>
            </w:r>
          </w:p>
        </w:tc>
      </w:tr>
      <w:tr w:rsidR="005A1636" w:rsidRPr="001B31FA" w14:paraId="6A19BF6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1A7B9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904A88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C2E86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Jaki konkretny problem / potrzebę ma rozwiązać AI? Jaki jest cel biznesowy lub publiczny?</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59FC8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Zdefiniowanie celu jest warunkiem oceny zgodności celów przetwarzania (art. 5 ust. 1 lit. b RODO) i proporcjonalności wdrożenia. Źródło: dokumentacja projektowa.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39835D"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7142BA"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5A28749"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D0801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1D01DD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14E52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cel da się osiągnąć bez AI lub istniejącymi technologiami?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A8816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Należy ocenić, na ile istniejące technologie i procesy rozwiązują problem lepiej, biorąc pod uwagę profil ryzyka AI i potencjalne negatywne skutki. Istotne dla testu proporcjonalności (art. 5 ust. 1 lit. c RODO).</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794401"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32B04F"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E366612"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2CEB6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14F162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1179E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Jakie korzyści mierzalne (czas, koszty, zyski, jakość usług) są oczekiwane?</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7EABC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Określenie oczekiwanych korzyści pozwala ocenić proporcjonalność wdrożenia i adekwatność </w:t>
            </w:r>
            <w:r w:rsidRPr="001B31FA">
              <w:rPr>
                <w:rFonts w:ascii="Arial" w:hAnsi="Arial" w:cs="Arial"/>
                <w:color w:val="000000" w:themeColor="text1"/>
                <w:sz w:val="24"/>
                <w:szCs w:val="24"/>
              </w:rPr>
              <w:lastRenderedPageBreak/>
              <w:t>zakresu przetwarzania danych osobowych (art. 5 ust. 1 lit. c RODO).</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909362"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73093E"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BB8CC6A"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F66C2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39FBCB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17297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Jakie ryzyka </w:t>
            </w:r>
            <w:proofErr w:type="spellStart"/>
            <w:r w:rsidRPr="001B31FA">
              <w:rPr>
                <w:rFonts w:ascii="Arial" w:hAnsi="Arial" w:cs="Arial"/>
                <w:color w:val="000000" w:themeColor="text1"/>
                <w:sz w:val="24"/>
                <w:szCs w:val="24"/>
              </w:rPr>
              <w:t>reputacyjne</w:t>
            </w:r>
            <w:proofErr w:type="spellEnd"/>
            <w:r w:rsidRPr="001B31FA">
              <w:rPr>
                <w:rFonts w:ascii="Arial" w:hAnsi="Arial" w:cs="Arial"/>
                <w:color w:val="000000" w:themeColor="text1"/>
                <w:sz w:val="24"/>
                <w:szCs w:val="24"/>
              </w:rPr>
              <w:t>, prawne, społeczne lub ryzyka dla człowieka mogą się pojawić?</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9FBA6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Wstępna identyfikacja </w:t>
            </w:r>
            <w:proofErr w:type="spellStart"/>
            <w:r w:rsidRPr="001B31FA">
              <w:rPr>
                <w:rFonts w:ascii="Arial" w:hAnsi="Arial" w:cs="Arial"/>
                <w:color w:val="000000" w:themeColor="text1"/>
                <w:sz w:val="24"/>
                <w:szCs w:val="24"/>
              </w:rPr>
              <w:t>ryzyk</w:t>
            </w:r>
            <w:proofErr w:type="spellEnd"/>
            <w:r w:rsidRPr="001B31FA">
              <w:rPr>
                <w:rFonts w:ascii="Arial" w:hAnsi="Arial" w:cs="Arial"/>
                <w:color w:val="000000" w:themeColor="text1"/>
                <w:sz w:val="24"/>
                <w:szCs w:val="24"/>
              </w:rPr>
              <w:t xml:space="preserve"> pozwala określić potencjalny poziom ryzyka oraz np. czy wymagana będzie DPIA (art. 35 RODO). Bilans korzyści i </w:t>
            </w:r>
            <w:proofErr w:type="spellStart"/>
            <w:r w:rsidRPr="001B31FA">
              <w:rPr>
                <w:rFonts w:ascii="Arial" w:hAnsi="Arial" w:cs="Arial"/>
                <w:color w:val="000000" w:themeColor="text1"/>
                <w:sz w:val="24"/>
                <w:szCs w:val="24"/>
              </w:rPr>
              <w:t>ryzyk</w:t>
            </w:r>
            <w:proofErr w:type="spellEnd"/>
            <w:r w:rsidRPr="001B31FA">
              <w:rPr>
                <w:rFonts w:ascii="Arial" w:hAnsi="Arial" w:cs="Arial"/>
                <w:color w:val="000000" w:themeColor="text1"/>
                <w:sz w:val="24"/>
                <w:szCs w:val="24"/>
              </w:rPr>
              <w:t xml:space="preserve"> stanowi próg wejścia dla decyzji o wdrożeniu. Źródło: analiza wstępna, konsultacja z IOD.</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BE4C38"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7EDB87"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CD2C67E"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8700C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0536DA3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5F5CA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system spełni potrzeby i oczekiwania organizacji?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72749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Należy ocenić, na ile planowany system spełni potrzeby i oczekiwania podmiotu wdrażającego. Niedopasowanie systemu zwiększa ryzyko przetwarzania nadmiarowego.</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EFC3B6"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33E487"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AFFFA6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15932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0FBA648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AE8AF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Jakie są konteksty użycia i ryzyka nadużycia </w:t>
            </w:r>
            <w:r w:rsidRPr="001B31FA">
              <w:rPr>
                <w:rFonts w:ascii="Arial" w:hAnsi="Arial" w:cs="Arial"/>
                <w:color w:val="000000" w:themeColor="text1"/>
                <w:sz w:val="24"/>
                <w:szCs w:val="24"/>
              </w:rPr>
              <w:lastRenderedPageBreak/>
              <w:t>systemu poza jego przeznaczeniem?</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1536D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Należy zidentyfikować potencjalne konteksty użycia systemu i ryzyka </w:t>
            </w:r>
            <w:r w:rsidRPr="001B31FA">
              <w:rPr>
                <w:rFonts w:ascii="Arial" w:hAnsi="Arial" w:cs="Arial"/>
                <w:color w:val="000000" w:themeColor="text1"/>
                <w:sz w:val="24"/>
                <w:szCs w:val="24"/>
              </w:rPr>
              <w:lastRenderedPageBreak/>
              <w:t>jego nadużycia, w tym wdrożenia wykraczającego poza pierwotne przeznaczenie. Relewantne dla oceny ryzyka (art. 35 RODO).</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E5902C"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D8DF6C"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3A0B7099"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1935A519"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2. CHARAKTER SYSTEMU AI I AUTONOMIA</w:t>
            </w:r>
          </w:p>
        </w:tc>
      </w:tr>
      <w:tr w:rsidR="005A1636" w:rsidRPr="001B31FA" w14:paraId="53C001C1"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EB601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7</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7D3442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E968A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Co robi system: generuje treści, klasyfikuje, przewiduje, rekomenduje, wspiera/podejmuje decyzje?</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6181A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Określenie funkcji systemu jest niezbędne do oceny: profilowania (art. 4 pkt 4 RODO), zautomatyzowanego podejmowania decyzji (art. 22 RODO), zakresu DPIA i obowiązków informacyjnych.</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B79E1D"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398C15"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F273278"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103A5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8</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719A93F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2B305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wynik AI jest wiążący, rekomendacyjny, czy informacyjny?</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EA49B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Charakter wyniku decyduje o zastosowaniu art. 22 RODO (decyzje automatyczne). Jeśli wynik jest wiążący lub wywiera istotny wpływ na osobę – wymagane są </w:t>
            </w:r>
            <w:r w:rsidRPr="001B31FA">
              <w:rPr>
                <w:rFonts w:ascii="Arial" w:hAnsi="Arial" w:cs="Arial"/>
                <w:color w:val="000000" w:themeColor="text1"/>
                <w:sz w:val="24"/>
                <w:szCs w:val="24"/>
              </w:rPr>
              <w:lastRenderedPageBreak/>
              <w:t>gwarancje z art. 22 ust. 3.</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1A5EE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B77599"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3760636"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C7FD2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9</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4C4822E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70C2C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system działa wyłącznie jako wsparcie człowieka, czy może prowadzić do decyzji o skutkach prawnych? </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EE111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Kluczowe dla identyfikacji, czy dochodzi do decyzji zautomatyzowanej w rozumieniu art. 22 ust. 1 RODO i czy wymagany jest nadzór ludzki z art. 22 ust. 3.</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132274"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1DC0B0"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95C34F8"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D9438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10</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56FF3EF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1F962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system podejmuje autonomiczne decyzje wobec osób fizycznych? Czy człowiek dokonuje rzeczywistej, merytorycznej weryfikacji wyniku AI – z realną możliwością jego zmiany w oparciu o własną ocenę – czy w praktyce wynik AI przesądza o rozstrzygnięciu?</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CFF26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Odpowiedź determinuje zastosowanie art. 22 RODO i wymóg zapewnienia interwencji ludzkiej. Źródło: specyfikacja procesu, opis </w:t>
            </w:r>
            <w:proofErr w:type="spellStart"/>
            <w:r w:rsidRPr="001B31FA">
              <w:rPr>
                <w:rFonts w:ascii="Arial" w:hAnsi="Arial" w:cs="Arial"/>
                <w:color w:val="000000" w:themeColor="text1"/>
                <w:sz w:val="24"/>
                <w:szCs w:val="24"/>
              </w:rPr>
              <w:t>workflow</w:t>
            </w:r>
            <w:proofErr w:type="spellEnd"/>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93B8B5"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21B65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391296EB"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68C52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11</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3B60C98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1F2D4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istnieją regulacje prawne wskazujące, że dana czynność powinna </w:t>
            </w:r>
            <w:r w:rsidRPr="001B31FA">
              <w:rPr>
                <w:rFonts w:ascii="Arial" w:hAnsi="Arial" w:cs="Arial"/>
                <w:color w:val="000000" w:themeColor="text1"/>
                <w:sz w:val="24"/>
                <w:szCs w:val="24"/>
              </w:rPr>
              <w:lastRenderedPageBreak/>
              <w:t>być prowadzona przez człowieka (np. wydawanie decyzji administracyjnych, diagnoza lekarska)?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181D2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Przy analizie zgodności może być wymagana </w:t>
            </w:r>
            <w:r w:rsidRPr="001B31FA">
              <w:rPr>
                <w:rFonts w:ascii="Arial" w:hAnsi="Arial" w:cs="Arial"/>
                <w:color w:val="000000" w:themeColor="text1"/>
                <w:sz w:val="24"/>
                <w:szCs w:val="24"/>
              </w:rPr>
              <w:lastRenderedPageBreak/>
              <w:t xml:space="preserve">ocena z uwzględnieniem regulacji sektorowych </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24769B"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E6ECAD"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1519714"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3488B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12</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0F6CC78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2FDFC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system będzie wykorzystywany wobec osób fizycznych (np. klientów, obywateli, pracowników, dzieci)?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A8F60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Kluczowe dla identyfikacji osób, których dane dotyczą, i zakresu obowiązków informacyjnych (art. 13–14 RODO), a także zakresu analizy </w:t>
            </w:r>
            <w:proofErr w:type="spellStart"/>
            <w:r w:rsidRPr="001B31FA">
              <w:rPr>
                <w:rFonts w:ascii="Arial" w:hAnsi="Arial" w:cs="Arial"/>
                <w:color w:val="000000" w:themeColor="text1"/>
                <w:sz w:val="24"/>
                <w:szCs w:val="24"/>
              </w:rPr>
              <w:t>ryzykaŹródło</w:t>
            </w:r>
            <w:proofErr w:type="spellEnd"/>
            <w:r w:rsidRPr="001B31FA">
              <w:rPr>
                <w:rFonts w:ascii="Arial" w:hAnsi="Arial" w:cs="Arial"/>
                <w:color w:val="000000" w:themeColor="text1"/>
                <w:sz w:val="24"/>
                <w:szCs w:val="24"/>
              </w:rPr>
              <w:t>: opis projektu, analiza interesariuszy.</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F2C2AF"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237523"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465907F"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1DD28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13</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D224D0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F2B48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organizacja buduje własny system AI, czy wdraża gotowy? (</w:t>
            </w:r>
            <w:proofErr w:type="spellStart"/>
            <w:r w:rsidRPr="001B31FA">
              <w:rPr>
                <w:rFonts w:ascii="Arial" w:hAnsi="Arial" w:cs="Arial"/>
                <w:color w:val="000000" w:themeColor="text1"/>
                <w:sz w:val="24"/>
                <w:szCs w:val="24"/>
              </w:rPr>
              <w:t>build</w:t>
            </w:r>
            <w:proofErr w:type="spellEnd"/>
            <w:r w:rsidRPr="001B31FA">
              <w:rPr>
                <w:rFonts w:ascii="Arial" w:hAnsi="Arial" w:cs="Arial"/>
                <w:color w:val="000000" w:themeColor="text1"/>
                <w:sz w:val="24"/>
                <w:szCs w:val="24"/>
              </w:rPr>
              <w:t xml:space="preserve"> vs. </w:t>
            </w:r>
            <w:proofErr w:type="spellStart"/>
            <w:r w:rsidRPr="001B31FA">
              <w:rPr>
                <w:rFonts w:ascii="Arial" w:hAnsi="Arial" w:cs="Arial"/>
                <w:color w:val="000000" w:themeColor="text1"/>
                <w:sz w:val="24"/>
                <w:szCs w:val="24"/>
              </w:rPr>
              <w:t>deploy</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05745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Rozróżnienie </w:t>
            </w:r>
            <w:proofErr w:type="spellStart"/>
            <w:r w:rsidRPr="001B31FA">
              <w:rPr>
                <w:rFonts w:ascii="Arial" w:hAnsi="Arial" w:cs="Arial"/>
                <w:color w:val="000000" w:themeColor="text1"/>
                <w:sz w:val="24"/>
                <w:szCs w:val="24"/>
              </w:rPr>
              <w:t>build</w:t>
            </w:r>
            <w:proofErr w:type="spellEnd"/>
            <w:r w:rsidRPr="001B31FA">
              <w:rPr>
                <w:rFonts w:ascii="Arial" w:hAnsi="Arial" w:cs="Arial"/>
                <w:color w:val="000000" w:themeColor="text1"/>
                <w:sz w:val="24"/>
                <w:szCs w:val="24"/>
              </w:rPr>
              <w:t xml:space="preserve"> vs. </w:t>
            </w:r>
            <w:proofErr w:type="spellStart"/>
            <w:r w:rsidRPr="001B31FA">
              <w:rPr>
                <w:rFonts w:ascii="Arial" w:hAnsi="Arial" w:cs="Arial"/>
                <w:color w:val="000000" w:themeColor="text1"/>
                <w:sz w:val="24"/>
                <w:szCs w:val="24"/>
              </w:rPr>
              <w:t>deploy</w:t>
            </w:r>
            <w:proofErr w:type="spellEnd"/>
            <w:r w:rsidRPr="001B31FA">
              <w:rPr>
                <w:rFonts w:ascii="Arial" w:hAnsi="Arial" w:cs="Arial"/>
                <w:color w:val="000000" w:themeColor="text1"/>
                <w:sz w:val="24"/>
                <w:szCs w:val="24"/>
              </w:rPr>
              <w:t xml:space="preserve"> determinuje zakres odpowiedzialności RODO: zasadniczo budujący odpowiada za dane treningowe, wdrażający – za dane wejściowe i sposób użycia.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4D15C1"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487963"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291506C"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65478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14</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0376F05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EE5CA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AI jest kupowana jako usługa, rozwijana wewnętrznie, czy oparta na modelach zewnętrznych? Jeżeli dostawca pełni rolę podmiotu przetwarzającego, należy zweryfikować, czy mimo to wskazuje jakieś własne cele przetwarzania danych (np. </w:t>
            </w:r>
            <w:proofErr w:type="spellStart"/>
            <w:r w:rsidRPr="001B31FA">
              <w:rPr>
                <w:rFonts w:ascii="Arial" w:hAnsi="Arial" w:cs="Arial"/>
                <w:color w:val="000000" w:themeColor="text1"/>
                <w:sz w:val="24"/>
                <w:szCs w:val="24"/>
              </w:rPr>
              <w:t>reuse</w:t>
            </w:r>
            <w:proofErr w:type="spellEnd"/>
            <w:r w:rsidRPr="001B31FA">
              <w:rPr>
                <w:rFonts w:ascii="Arial" w:hAnsi="Arial" w:cs="Arial"/>
                <w:color w:val="000000" w:themeColor="text1"/>
                <w:sz w:val="24"/>
                <w:szCs w:val="24"/>
              </w:rPr>
              <w:t xml:space="preserve"> data).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6409A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Forma pozyskania systemu determinuje zakres obowiązków: umowa powierzenia (art. 28 RODO), umowa licencyjna, współadministrowanie (art. 26 RODO), skutki z art. 28 ust. 10 RODO. Źródło: umowa z dostawcą.</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D2B629"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A33E14"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79830F9"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C6F9D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15</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3B6B158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24DE6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organizacja posiada wiedzę o architekturze systemu i instrukcjach dostawcy? Czy organizacja zapoznała się z instrukcją użycia i celami działania systemu, jeżeli dostawca przekazał taką instrukcję ?</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7464B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Znajomość architektury i instrukcji dostawcy warunkuje skuteczność data </w:t>
            </w:r>
            <w:proofErr w:type="spellStart"/>
            <w:r w:rsidRPr="001B31FA">
              <w:rPr>
                <w:rFonts w:ascii="Arial" w:hAnsi="Arial" w:cs="Arial"/>
                <w:color w:val="000000" w:themeColor="text1"/>
                <w:sz w:val="24"/>
                <w:szCs w:val="24"/>
              </w:rPr>
              <w:t>protection</w:t>
            </w:r>
            <w:proofErr w:type="spellEnd"/>
            <w:r w:rsidRPr="001B31FA">
              <w:rPr>
                <w:rFonts w:ascii="Arial" w:hAnsi="Arial" w:cs="Arial"/>
                <w:color w:val="000000" w:themeColor="text1"/>
                <w:sz w:val="24"/>
                <w:szCs w:val="24"/>
              </w:rPr>
              <w:t xml:space="preserve"> by design (art. 25 RODO) oraz ocenę ryzyka (art. 32 RODO). Źródło: dokumentacja dostawcy.</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4897C5"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F351DC"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5E07368D"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9BA84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16</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5294AF1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0E281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organizacja posiada wiedzę o prawidłowej konfiguracji systemu?</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25350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Poprawna konfiguracja systemu wpływa na zakres przetwarzania danych i poziom bezpieczeństwa (art. 25 i 32 RODO). Źródło: dokumentacja techniczna, instrukcja dostawcy.</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6F2CC0"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147CDE"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25ECA6A"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55C49A42"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3. DANE OSOBOWE – IDENTYFIKACJA I ŹRÓDŁA</w:t>
            </w:r>
          </w:p>
        </w:tc>
      </w:tr>
      <w:tr w:rsidR="005A1636" w:rsidRPr="001B31FA" w14:paraId="34992729"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8828B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17</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78DBC3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7B0A8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system AI przetwarza dane osobowe bezpośrednio (np. imiona, PESEL, dane kontaktowe, wizerunek)? </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50013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 Należy uwzględnić m.in.: dane treningowe, dane wejściowe (</w:t>
            </w:r>
            <w:proofErr w:type="spellStart"/>
            <w:r w:rsidRPr="001B31FA">
              <w:rPr>
                <w:rFonts w:ascii="Arial" w:hAnsi="Arial" w:cs="Arial"/>
                <w:color w:val="000000" w:themeColor="text1"/>
                <w:sz w:val="24"/>
                <w:szCs w:val="24"/>
              </w:rPr>
              <w:t>input</w:t>
            </w:r>
            <w:proofErr w:type="spellEnd"/>
            <w:r w:rsidRPr="001B31FA">
              <w:rPr>
                <w:rFonts w:ascii="Arial" w:hAnsi="Arial" w:cs="Arial"/>
                <w:color w:val="000000" w:themeColor="text1"/>
                <w:sz w:val="24"/>
                <w:szCs w:val="24"/>
              </w:rPr>
              <w:t>), dane wyjściowe (</w:t>
            </w:r>
            <w:proofErr w:type="spellStart"/>
            <w:r w:rsidRPr="001B31FA">
              <w:rPr>
                <w:rFonts w:ascii="Arial" w:hAnsi="Arial" w:cs="Arial"/>
                <w:color w:val="000000" w:themeColor="text1"/>
                <w:sz w:val="24"/>
                <w:szCs w:val="24"/>
              </w:rPr>
              <w:t>output</w:t>
            </w:r>
            <w:proofErr w:type="spellEnd"/>
            <w:r w:rsidRPr="001B31FA">
              <w:rPr>
                <w:rFonts w:ascii="Arial" w:hAnsi="Arial" w:cs="Arial"/>
                <w:color w:val="000000" w:themeColor="text1"/>
                <w:sz w:val="24"/>
                <w:szCs w:val="24"/>
              </w:rPr>
              <w:t>) oraz wszelkie dane budujące kontekst (np. RAG). Art. 4 pkt 1 RODO definiuje dane osobowe szeroko. Pytanie fundamentalne – 41–58,5% organizacji nie identyfikuje tego związku (Raport Strategiczny). Źródło: dokumentacja systemu, analiza przepływu danych.</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4B4D7B"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E851DB"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258685D"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80193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18</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37557F6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061DA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system generuje nowe dane o osobach (np. inferencje, profile, </w:t>
            </w:r>
            <w:proofErr w:type="spellStart"/>
            <w:r w:rsidRPr="001B31FA">
              <w:rPr>
                <w:rFonts w:ascii="Arial" w:hAnsi="Arial" w:cs="Arial"/>
                <w:color w:val="000000" w:themeColor="text1"/>
                <w:sz w:val="24"/>
                <w:szCs w:val="24"/>
              </w:rPr>
              <w:t>scoring</w:t>
            </w:r>
            <w:proofErr w:type="spellEnd"/>
            <w:r w:rsidRPr="001B31FA">
              <w:rPr>
                <w:rFonts w:ascii="Arial" w:hAnsi="Arial" w:cs="Arial"/>
                <w:color w:val="000000" w:themeColor="text1"/>
                <w:sz w:val="24"/>
                <w:szCs w:val="24"/>
              </w:rPr>
              <w:t>, klasyfikacje)?</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ADBF6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Dane wygenerowane przez AI o osobach (inferencje, profile, </w:t>
            </w:r>
            <w:proofErr w:type="spellStart"/>
            <w:r w:rsidRPr="001B31FA">
              <w:rPr>
                <w:rFonts w:ascii="Arial" w:hAnsi="Arial" w:cs="Arial"/>
                <w:color w:val="000000" w:themeColor="text1"/>
                <w:sz w:val="24"/>
                <w:szCs w:val="24"/>
              </w:rPr>
              <w:t>scoring</w:t>
            </w:r>
            <w:proofErr w:type="spellEnd"/>
            <w:r w:rsidRPr="001B31FA">
              <w:rPr>
                <w:rFonts w:ascii="Arial" w:hAnsi="Arial" w:cs="Arial"/>
                <w:color w:val="000000" w:themeColor="text1"/>
                <w:sz w:val="24"/>
                <w:szCs w:val="24"/>
              </w:rPr>
              <w:t>) mogą stanowić dane osobowe w rozumieniu art. 4 pkt 1 RODO i profilowanie w rozumieniu art. 4 pkt 4.</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94C3CA"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27C90A"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61EC6E41"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A8888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19</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608BA87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C9F6B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Jakie kategorie danych: zwykłe, szczególne (art. 9), dane dzieci (art. 8), dane dot. wyroków (art. 10)?</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0B2B3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Kategoria danych determinuje podstawę prawną, zakres DPIA i poziom wymaganej ochrony: art. 9 RODO (dane szczególne), art. 8 (dane dzieci), art. 10 (dane o wyrokach). Źródło: dokumentacja techniczna.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84C6AC"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C6A673"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88E48E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4EA3C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20</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1EE0646" w14:textId="77777777" w:rsidR="005A1636" w:rsidRPr="001B31FA" w:rsidRDefault="005A1636" w:rsidP="002B4C9B">
            <w:pPr>
              <w:spacing w:after="40"/>
              <w:ind w:left="-8" w:firstLine="8"/>
              <w:rPr>
                <w:rFonts w:ascii="Arial" w:hAnsi="Arial" w:cs="Arial"/>
                <w:b/>
                <w:bCs/>
                <w:color w:val="000000" w:themeColor="text1"/>
                <w:sz w:val="24"/>
                <w:szCs w:val="24"/>
              </w:rPr>
            </w:pPr>
            <w:r w:rsidRPr="001B31FA">
              <w:rPr>
                <w:rFonts w:ascii="Arial" w:hAnsi="Arial" w:cs="Arial"/>
                <w:b/>
                <w:bCs/>
                <w:color w:val="000000" w:themeColor="text1"/>
                <w:sz w:val="24"/>
                <w:szCs w:val="24"/>
              </w:rPr>
              <w:t>P</w:t>
            </w:r>
          </w:p>
          <w:p w14:paraId="3373845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A9FB4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wśród osób, których dane dotyczą, są osoby w szczególnie wrażliwej sytuacji (dzieci, pracownicy, osoby z niepełnosprawnościami)?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1A2A5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 xml:space="preserve"> </w:t>
            </w:r>
            <w:r w:rsidRPr="001B31FA">
              <w:rPr>
                <w:rFonts w:ascii="Arial" w:hAnsi="Arial" w:cs="Arial"/>
                <w:color w:val="000000" w:themeColor="text1"/>
                <w:sz w:val="24"/>
                <w:szCs w:val="24"/>
              </w:rPr>
              <w:t xml:space="preserve">Przetwarzanie takich danych ma wpływ na ocenę podstaw prawnych, zwłaszcza podstawy z art. 6 ust. 1 lit. f tj. prawnie uzasadnionego interesu </w:t>
            </w:r>
            <w:r w:rsidRPr="001B31FA">
              <w:rPr>
                <w:rFonts w:ascii="Arial" w:hAnsi="Arial" w:cs="Arial"/>
                <w:color w:val="000000" w:themeColor="text1"/>
                <w:sz w:val="24"/>
                <w:szCs w:val="24"/>
              </w:rPr>
              <w:lastRenderedPageBreak/>
              <w:t>administratora, zasad przetwarzania, zwłaszcza zasady minimalizacji i ograniczenia celu, oraz na analizę ryzyka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D7FB98"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DBA67A"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47299E0"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8F6A5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21</w:t>
            </w:r>
          </w:p>
        </w:tc>
        <w:tc>
          <w:tcPr>
            <w:tcW w:w="874"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69EF238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3209E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Jakie są źródła danych treningowych: własne, zewnętrzne, publiczne, od dostawcy, syntetyczne, od podmiotów danych?</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B25D9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Źródło danych wpływa na: zgodność celów (art. 6 ust. 4 RODO), podstawę prawną, obowiązki informacyjne (art. 14 RODO – dane pozyskane pośrednio). Źródło: dokumentacja dostawcy, model </w:t>
            </w:r>
            <w:proofErr w:type="spellStart"/>
            <w:r w:rsidRPr="001B31FA">
              <w:rPr>
                <w:rFonts w:ascii="Arial" w:hAnsi="Arial" w:cs="Arial"/>
                <w:color w:val="000000" w:themeColor="text1"/>
                <w:sz w:val="24"/>
                <w:szCs w:val="24"/>
              </w:rPr>
              <w:t>card</w:t>
            </w:r>
            <w:proofErr w:type="spellEnd"/>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BD9465"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F2AA0D"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6F934E9B"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86087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22</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5FFF416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7DD30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Jakie są źródła danych wejściowych w fazie użycia:  dane dostarczone do systemu AI przez użytkownika czy system AI sam pozyskuje z innego źródła?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15AAF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Źródłem danych wejściowych może być bezpośrednio użytkownik lub system pobierający dane z zewnątrz – konieczne jest rozróżnienie dla oceny obowiązków informacyjnych i podstawy prawnej.</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4D2732"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E54BA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5C81184B"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3B787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23</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61890CE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C1B39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Jaki jest zakres danych na etapie trenowania, danych wejściowych i danych wyjściowych?</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12B45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Zakres danych na każdym etapie musi odpowiadać zasadzie minimalizacji (art. 5 ust. 1 lit. c RODO). Dotyczy danych treningowych, wejściowych i wyjściowych.</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9C5DD1"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C80552"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66A7751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8DD89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24</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FBB603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67EB4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jakość i reprezentatywność danych jest wystarczająca?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B940C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 Jakość i reprezentatywność danych warunkuje skuteczność i bezpieczeństwo systemu. Zasada prawidłowości danych (art. 5 ust. 1 lit. d RODO) wymaga unikania szkodliwych uprzedzeń.</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F71185"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68057E"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A9F7952"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439D5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25</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9F6FB7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1A42F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organizacja ma wdrożone procedury data </w:t>
            </w:r>
            <w:proofErr w:type="spellStart"/>
            <w:r w:rsidRPr="001B31FA">
              <w:rPr>
                <w:rFonts w:ascii="Arial" w:hAnsi="Arial" w:cs="Arial"/>
                <w:color w:val="000000" w:themeColor="text1"/>
                <w:sz w:val="24"/>
                <w:szCs w:val="24"/>
              </w:rPr>
              <w:t>governance</w:t>
            </w:r>
            <w:proofErr w:type="spellEnd"/>
            <w:r w:rsidRPr="001B31FA">
              <w:rPr>
                <w:rFonts w:ascii="Arial" w:hAnsi="Arial" w:cs="Arial"/>
                <w:color w:val="000000" w:themeColor="text1"/>
                <w:sz w:val="24"/>
                <w:szCs w:val="24"/>
              </w:rPr>
              <w:t xml:space="preserve"> obejmujące dane wykorzystywane w systemie AI: klasyfikację danych, kontrolę jakości, zarządzanie dostępem, </w:t>
            </w:r>
            <w:r w:rsidRPr="001B31FA">
              <w:rPr>
                <w:rFonts w:ascii="Arial" w:hAnsi="Arial" w:cs="Arial"/>
                <w:color w:val="000000" w:themeColor="text1"/>
                <w:sz w:val="24"/>
                <w:szCs w:val="24"/>
              </w:rPr>
              <w:lastRenderedPageBreak/>
              <w:t xml:space="preserve">wersjonowanie zbiorów i dokumentowanie pochodzenia danych (data </w:t>
            </w:r>
            <w:proofErr w:type="spellStart"/>
            <w:r w:rsidRPr="001B31FA">
              <w:rPr>
                <w:rFonts w:ascii="Arial" w:hAnsi="Arial" w:cs="Arial"/>
                <w:color w:val="000000" w:themeColor="text1"/>
                <w:sz w:val="24"/>
                <w:szCs w:val="24"/>
              </w:rPr>
              <w:t>lineage</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891C0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Wdrożone procedury zarządzania danymi warunkują faktyczną kontrolę nad danymi, a tym samym nad efektami działania systemu AI. Bez nich nie jest możliwe </w:t>
            </w:r>
            <w:r w:rsidRPr="001B31FA">
              <w:rPr>
                <w:rFonts w:ascii="Arial" w:hAnsi="Arial" w:cs="Arial"/>
                <w:color w:val="000000" w:themeColor="text1"/>
                <w:sz w:val="24"/>
                <w:szCs w:val="24"/>
              </w:rPr>
              <w:lastRenderedPageBreak/>
              <w:t xml:space="preserve">wykazanie zgodności z zasadami prawidłowości (art. 5 ust. 1 lit. d RODO), minimalizacji (lit. c), ograniczenia przechowywania (lit. e) ani rozliczalności (art. 5 ust. 2 RODO). Pytanie uzupełnia pytanie 45 dotyczące roli odpowiedzialnej za data </w:t>
            </w:r>
            <w:proofErr w:type="spellStart"/>
            <w:r w:rsidRPr="001B31FA">
              <w:rPr>
                <w:rFonts w:ascii="Arial" w:hAnsi="Arial" w:cs="Arial"/>
                <w:color w:val="000000" w:themeColor="text1"/>
                <w:sz w:val="24"/>
                <w:szCs w:val="24"/>
              </w:rPr>
              <w:t>governance</w:t>
            </w:r>
            <w:proofErr w:type="spellEnd"/>
            <w:r w:rsidRPr="001B31FA">
              <w:rPr>
                <w:rFonts w:ascii="Arial" w:hAnsi="Arial" w:cs="Arial"/>
                <w:color w:val="000000" w:themeColor="text1"/>
                <w:sz w:val="24"/>
                <w:szCs w:val="24"/>
              </w:rPr>
              <w:t>. Źródło: polityka zarządzania danymi, procedury wewnętrzne, dokumentacja IT.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045DCF"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8F82F4"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9F23F6D"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62FE1ED8"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4. PODSTAWA PRAWNA I CEL PRZETWARZANIA</w:t>
            </w:r>
          </w:p>
        </w:tc>
      </w:tr>
      <w:tr w:rsidR="005A1636" w:rsidRPr="001B31FA" w14:paraId="1058724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78153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26</w:t>
            </w:r>
          </w:p>
        </w:tc>
        <w:tc>
          <w:tcPr>
            <w:tcW w:w="874"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32D27F9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7504D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Jaka jest podstawa prawna przetwarzania danych treningowych (art. 6 ust. 1 RODO)?</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478F2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Należy wskazać konkretną przesłankę z art. 6 ust. 1 RODO legalizującą przetwarzanie danych treningowych. Przesłanka może się </w:t>
            </w:r>
            <w:r w:rsidRPr="001B31FA">
              <w:rPr>
                <w:rFonts w:ascii="Arial" w:hAnsi="Arial" w:cs="Arial"/>
                <w:color w:val="000000" w:themeColor="text1"/>
                <w:sz w:val="24"/>
                <w:szCs w:val="24"/>
              </w:rPr>
              <w:lastRenderedPageBreak/>
              <w:t>różnić od tej dla fazy wdrożenia.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4BF6AE"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43426F"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BC035BD"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2481A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27</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0F8ED38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560FE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Jaka jest podstawa prawna przetwarzania danych w fazie wdrożenia/użycia (art. 6 ust. 1)?</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ABEDC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Faza wdrożenia i użycia może wymagać odrębnej podstawy prawnej z art. 6 ust. 1 RODO niż faza trenowania. Źródło: rejestr czynności przetwarzania, opinia IOD.</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CE9AD4"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168A3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35EB3192"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DA9FD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28</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9334FF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90053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w przypadku zgody (lit. a) – może być ona dobrowolna przy obowiązkowym użyciu AI?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25995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Motyw 42–43 RODO: zgoda musi być dobrowolna. W relacjach władczych (pracodawca–pracownik, organ–obywatel) dobrowolność zgody może być wątpliwa.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78E146"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66F5AA"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3EC2D03"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D96FB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29</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29F8E2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1D63B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w przypadku prawnie uzasadnionego interesu (lit. f) – przeprowadzono test równowagi?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87D68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6 ust. 1 lit. f RODO wymaga przeprowadzenia testu równowagi pomiędzy prawnie uzasadnionym interesem administratora a interesem, prawami i </w:t>
            </w:r>
            <w:r w:rsidRPr="001B31FA">
              <w:rPr>
                <w:rFonts w:ascii="Arial" w:hAnsi="Arial" w:cs="Arial"/>
                <w:color w:val="000000" w:themeColor="text1"/>
                <w:sz w:val="24"/>
                <w:szCs w:val="24"/>
              </w:rPr>
              <w:lastRenderedPageBreak/>
              <w:t>wolnościami osób, których dane dotyczą.</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3E9BFC"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F31EAA"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B940CEB"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8789F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30</w:t>
            </w:r>
          </w:p>
        </w:tc>
        <w:tc>
          <w:tcPr>
            <w:tcW w:w="874"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68C53D5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D0418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przeprowadzono ocenę zgodności celów - jeśli pierwotne cele zbierania danych były inne niż rozwój systemu AI (</w:t>
            </w:r>
            <w:proofErr w:type="spellStart"/>
            <w:r w:rsidRPr="001B31FA">
              <w:rPr>
                <w:rFonts w:ascii="Arial" w:hAnsi="Arial" w:cs="Arial"/>
                <w:color w:val="000000" w:themeColor="text1"/>
                <w:sz w:val="24"/>
                <w:szCs w:val="24"/>
              </w:rPr>
              <w:t>compatibility</w:t>
            </w:r>
            <w:proofErr w:type="spellEnd"/>
            <w:r w:rsidRPr="001B31FA">
              <w:rPr>
                <w:rFonts w:ascii="Arial" w:hAnsi="Arial" w:cs="Arial"/>
                <w:color w:val="000000" w:themeColor="text1"/>
                <w:sz w:val="24"/>
                <w:szCs w:val="24"/>
              </w:rPr>
              <w:t xml:space="preserve"> test, art. 6 ust. 4)?</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6E8D9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Art. 6 ust. 4 RODO: jeśli dane zebrano w innym celu niż AI, należy przeprowadzić test kompatybilności celów z uwzględnieniem kryteriów wskazanych w tym przepisie.</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3BBB70"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92BE1D"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B0065A0"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C0578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31</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2EBC7A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579FD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dla danych szczególnych kategorii istnieje odrębna przesłanka (art. 9 ust. 2)?</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9D030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Przetwarzanie danych szczególnych kategorii wymaga odrębnej przesłanki z art. 9 ust. 2 RODO, niezależnie od podstawy z art. 6 ust. 1.</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8B1026"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F73030"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33B43838"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294769D7"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5. ZASADY PRZETWARZANIA (art. 5 RODO)</w:t>
            </w:r>
          </w:p>
        </w:tc>
      </w:tr>
      <w:tr w:rsidR="005A1636" w:rsidRPr="001B31FA" w14:paraId="6BB7D8F3"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DD916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32</w:t>
            </w:r>
          </w:p>
        </w:tc>
        <w:tc>
          <w:tcPr>
            <w:tcW w:w="874"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061F630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26B1C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zakres danych treningowych jest ograniczony do minimum niezbędnego (minimalizacja art. 5. ust. 1 lit. c))?</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7ED58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Zasada minimalizacji danych (art. 5 ust. 1 lit. c RODO) wymaga, aby zakres danych treningowych był ograniczony do minimum </w:t>
            </w:r>
            <w:r w:rsidRPr="001B31FA">
              <w:rPr>
                <w:rFonts w:ascii="Arial" w:hAnsi="Arial" w:cs="Arial"/>
                <w:color w:val="000000" w:themeColor="text1"/>
                <w:sz w:val="24"/>
                <w:szCs w:val="24"/>
              </w:rPr>
              <w:lastRenderedPageBreak/>
              <w:t>niezbędnego do osiągnięcia celu.</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D2FC74"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2BC88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651C99DD"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0AC53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33</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433B6CE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CE733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dane wejściowe/wyjściowe w fazie użycia są ograniczone do niezbędnego minimum?</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2640B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Zasada minimalizacji danych (art. 5 ust. 1 lit. c RODO) dotyczy również danych wejściowych i wyjściowych w fazie użycia systemu AI.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8DC0D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2BC474"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D043A8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4799B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34</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6E0C09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4878A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dane zarówno dane treningowe, walidacyjne i testowe, jak i wejściowe, są prawidłowe, aktualne i wolne od systemowych błędów (art. 5 ust. 1 lit. d)?</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489F5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Zasada prawidłowości (art. 5 ust. 1 lit. d RODO) dotyczy wszystkich kategorii danych: treningowych, walidacyjnych, testowych i wejściowych. Nieprawidłowe dane mogą prowadzić do dyskryminacji.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169BAF"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5F6DCE"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A79CD44"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45F37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35</w:t>
            </w:r>
          </w:p>
        </w:tc>
        <w:tc>
          <w:tcPr>
            <w:tcW w:w="874"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649A969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8F0D3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określono okresy retencji danych treningowych?</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FA0CC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Zasada ograniczenia przechowywania (art. 5 ust. 1 lit. e RODO) wymaga określenia okresów retencji danych treningowych i ich </w:t>
            </w:r>
            <w:r w:rsidRPr="001B31FA">
              <w:rPr>
                <w:rFonts w:ascii="Arial" w:hAnsi="Arial" w:cs="Arial"/>
                <w:color w:val="000000" w:themeColor="text1"/>
                <w:sz w:val="24"/>
                <w:szCs w:val="24"/>
              </w:rPr>
              <w:lastRenderedPageBreak/>
              <w:t>usunięcia po ustaniu celu.</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CA2C4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1179C9"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14B4BEE8"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C47AD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36</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15A9CC2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0A78B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określono okresy retencji danych wejściowych i wyjściowych AI?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C50DC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Zasada ograniczenia przechowywania (art. 5 ust. 1 lit. e RODO) dotyczy również danych wejściowych i wyjściowych, w tym historii interakcji z systemem. </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AF0960"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077F8B"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333BDFF3"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0C81B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37</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BD9A64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CD707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zastosowano data </w:t>
            </w:r>
            <w:proofErr w:type="spellStart"/>
            <w:r w:rsidRPr="001B31FA">
              <w:rPr>
                <w:rFonts w:ascii="Arial" w:hAnsi="Arial" w:cs="Arial"/>
                <w:color w:val="000000" w:themeColor="text1"/>
                <w:sz w:val="24"/>
                <w:szCs w:val="24"/>
              </w:rPr>
              <w:t>protection</w:t>
            </w:r>
            <w:proofErr w:type="spellEnd"/>
            <w:r w:rsidRPr="001B31FA">
              <w:rPr>
                <w:rFonts w:ascii="Arial" w:hAnsi="Arial" w:cs="Arial"/>
                <w:color w:val="000000" w:themeColor="text1"/>
                <w:sz w:val="24"/>
                <w:szCs w:val="24"/>
              </w:rPr>
              <w:t xml:space="preserve"> by design i by </w:t>
            </w:r>
            <w:proofErr w:type="spellStart"/>
            <w:r w:rsidRPr="001B31FA">
              <w:rPr>
                <w:rFonts w:ascii="Arial" w:hAnsi="Arial" w:cs="Arial"/>
                <w:color w:val="000000" w:themeColor="text1"/>
                <w:sz w:val="24"/>
                <w:szCs w:val="24"/>
              </w:rPr>
              <w:t>default</w:t>
            </w:r>
            <w:proofErr w:type="spellEnd"/>
            <w:r w:rsidRPr="001B31FA">
              <w:rPr>
                <w:rFonts w:ascii="Arial" w:hAnsi="Arial" w:cs="Arial"/>
                <w:color w:val="000000" w:themeColor="text1"/>
                <w:sz w:val="24"/>
                <w:szCs w:val="24"/>
              </w:rPr>
              <w:t xml:space="preserve"> (art. 25 RODO)? Jeśli tak wyjaśnij w jaki sposób.</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60BB1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Ochrona danych w fazie projektowania i domyślna ochrona danych (art. 25 RODO) wymagają wdrożenia odpowiednich środków technicznych i organizacyjnych już na etapie projektowania systemu.</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F5E866"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E16DBF"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1A2A21C8"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1B0B4386"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6. ROLE RODO, UMOWY I DOSTAWCY</w:t>
            </w:r>
          </w:p>
        </w:tc>
      </w:tr>
      <w:tr w:rsidR="005A1636" w:rsidRPr="001B31FA" w14:paraId="3E26B7FF"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5EAEA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38</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460057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BE0E7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Kim jest organizacja: administratorem, </w:t>
            </w:r>
            <w:proofErr w:type="spellStart"/>
            <w:r w:rsidRPr="001B31FA">
              <w:rPr>
                <w:rFonts w:ascii="Arial" w:hAnsi="Arial" w:cs="Arial"/>
                <w:color w:val="000000" w:themeColor="text1"/>
                <w:sz w:val="24"/>
                <w:szCs w:val="24"/>
              </w:rPr>
              <w:t>współadministratorem</w:t>
            </w:r>
            <w:proofErr w:type="spellEnd"/>
            <w:r w:rsidRPr="001B31FA">
              <w:rPr>
                <w:rFonts w:ascii="Arial" w:hAnsi="Arial" w:cs="Arial"/>
                <w:color w:val="000000" w:themeColor="text1"/>
                <w:sz w:val="24"/>
                <w:szCs w:val="24"/>
              </w:rPr>
              <w:t xml:space="preserve">, </w:t>
            </w:r>
            <w:r w:rsidRPr="001B31FA">
              <w:rPr>
                <w:rFonts w:ascii="Arial" w:hAnsi="Arial" w:cs="Arial"/>
                <w:color w:val="000000" w:themeColor="text1"/>
                <w:sz w:val="24"/>
                <w:szCs w:val="24"/>
              </w:rPr>
              <w:lastRenderedPageBreak/>
              <w:t>podmiotem przetwarzającym?</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3E484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Prawidłowe ustalenie roli w rozumieniu RODO (art. 4 pkt 7–8, art. 26, art. 28) jest kluczowe dla </w:t>
            </w:r>
            <w:r w:rsidRPr="001B31FA">
              <w:rPr>
                <w:rFonts w:ascii="Arial" w:hAnsi="Arial" w:cs="Arial"/>
                <w:color w:val="000000" w:themeColor="text1"/>
                <w:sz w:val="24"/>
                <w:szCs w:val="24"/>
              </w:rPr>
              <w:lastRenderedPageBreak/>
              <w:t>określenia zakresu obowiązków i odpowiedzialności.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6752C3"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DED88F"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2BF91C4"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6D878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39</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7AF43FD8" w14:textId="77777777" w:rsidR="005A1636" w:rsidRPr="001B31FA" w:rsidRDefault="005A1636" w:rsidP="002B4C9B">
            <w:pPr>
              <w:spacing w:after="40"/>
              <w:ind w:left="-8" w:firstLine="8"/>
              <w:rPr>
                <w:rFonts w:ascii="Arial" w:hAnsi="Arial" w:cs="Arial"/>
                <w:b/>
                <w:bCs/>
                <w:color w:val="000000" w:themeColor="text1"/>
                <w:sz w:val="24"/>
                <w:szCs w:val="24"/>
              </w:rPr>
            </w:pPr>
            <w:r w:rsidRPr="001B31FA">
              <w:rPr>
                <w:rFonts w:ascii="Arial" w:hAnsi="Arial" w:cs="Arial"/>
                <w:b/>
                <w:bCs/>
                <w:color w:val="000000" w:themeColor="text1"/>
                <w:sz w:val="24"/>
                <w:szCs w:val="24"/>
              </w:rPr>
              <w:t>Z</w:t>
            </w:r>
          </w:p>
          <w:p w14:paraId="0742358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0C8A2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zawarto umowę powierzenia przetwarzania (art. 28 RODO) z dostawcą AI?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1DF68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 Obowiązkowa, gdy dostawca przetwarza dane w imieniu organizacji. Musi regulować: przedmiot, czas, charakter, cel, kategorie danych i osób. Należy zweryfikować czy dostawca zastrzega sobie prawo do wykorzystania danych we własnych celach ze skutkami z art. 28 ust. 10 RODO.</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868D00"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DC268C"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5CD845D"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47DBE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40</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41CCF72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31734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umowa powierzenia reguluje wszystkie elementy z art. 28 ust. 3 RODO: przedmiot, czas, charakter i cel przetwarzania, kategorie danych i osób, przetwarzanie wyłącznie </w:t>
            </w:r>
            <w:r w:rsidRPr="001B31FA">
              <w:rPr>
                <w:rFonts w:ascii="Arial" w:hAnsi="Arial" w:cs="Arial"/>
                <w:color w:val="000000" w:themeColor="text1"/>
                <w:sz w:val="24"/>
                <w:szCs w:val="24"/>
              </w:rPr>
              <w:lastRenderedPageBreak/>
              <w:t>na udokumentowane polecenie, poufność, bezpieczeństwo, warunki dalszego powierzenia, pomoc w realizacji praw osób i przy zgłaszaniu naruszeń, usunięcie lub zwrot danych po zakończeniu świadczenia usług oraz audyt i udostępnianie informacji niezbędnych do wykazania zgodności?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20067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Art. 28 ust. 3 lit. a–h RODO określa obowiązkową treść umowy powierzenia. W praktyce najczęściej pomijane są: warunki dalszego powierzenia (lit. d w zw. z art. 28 ust. 2 i </w:t>
            </w:r>
            <w:r w:rsidRPr="001B31FA">
              <w:rPr>
                <w:rFonts w:ascii="Arial" w:hAnsi="Arial" w:cs="Arial"/>
                <w:color w:val="000000" w:themeColor="text1"/>
                <w:sz w:val="24"/>
                <w:szCs w:val="24"/>
              </w:rPr>
              <w:lastRenderedPageBreak/>
              <w:t>4), pomoc w realizacji praw osób (lit. e), wsparcie przy naruszeniach (lit. f) oraz los danych po zakończeniu współpracy (lit. g) – istotny przy AI, gdzie dane mogą pozostać w modelu, w pamięci kontekstowej lub w kopiach zapasowych. Źródło: umowa powierzenia, DPA dostawcy.</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A3F7F1"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6B98B0"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6D78E013"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5BA7E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41</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4F44DA4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779B3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dostawca ujawnia źródła danych treningowych i zapewnia dokumentację modelu?</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8A14E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Transparentność łańcucha dostawczego AI jest warunkiem rzetelnej oceny ryzyka i zapewnienia zgodności z RODO. Źródło: dokumentacja dostawcy, model </w:t>
            </w:r>
            <w:proofErr w:type="spellStart"/>
            <w:r w:rsidRPr="001B31FA">
              <w:rPr>
                <w:rFonts w:ascii="Arial" w:hAnsi="Arial" w:cs="Arial"/>
                <w:color w:val="000000" w:themeColor="text1"/>
                <w:sz w:val="24"/>
                <w:szCs w:val="24"/>
              </w:rPr>
              <w:t>card</w:t>
            </w:r>
            <w:proofErr w:type="spellEnd"/>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518551"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743744"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C424F12"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3937D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42</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1B1FB4D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6909A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model AI jest oparty na rozwiązaniu open </w:t>
            </w:r>
            <w:proofErr w:type="spellStart"/>
            <w:r w:rsidRPr="001B31FA">
              <w:rPr>
                <w:rFonts w:ascii="Arial" w:hAnsi="Arial" w:cs="Arial"/>
                <w:color w:val="000000" w:themeColor="text1"/>
                <w:sz w:val="24"/>
                <w:szCs w:val="24"/>
              </w:rPr>
              <w:lastRenderedPageBreak/>
              <w:t>source</w:t>
            </w:r>
            <w:proofErr w:type="spellEnd"/>
            <w:r w:rsidRPr="001B31FA">
              <w:rPr>
                <w:rFonts w:ascii="Arial" w:hAnsi="Arial" w:cs="Arial"/>
                <w:color w:val="000000" w:themeColor="text1"/>
                <w:sz w:val="24"/>
                <w:szCs w:val="24"/>
              </w:rPr>
              <w:t xml:space="preserve"> czy zamkniętym (</w:t>
            </w:r>
            <w:proofErr w:type="spellStart"/>
            <w:r w:rsidRPr="001B31FA">
              <w:rPr>
                <w:rFonts w:ascii="Arial" w:hAnsi="Arial" w:cs="Arial"/>
                <w:color w:val="000000" w:themeColor="text1"/>
                <w:sz w:val="24"/>
                <w:szCs w:val="24"/>
              </w:rPr>
              <w:t>closed</w:t>
            </w:r>
            <w:proofErr w:type="spellEnd"/>
            <w:r w:rsidRPr="001B31FA">
              <w:rPr>
                <w:rFonts w:ascii="Arial" w:hAnsi="Arial" w:cs="Arial"/>
                <w:color w:val="000000" w:themeColor="text1"/>
                <w:sz w:val="24"/>
                <w:szCs w:val="24"/>
              </w:rPr>
              <w:t xml:space="preserve"> </w:t>
            </w:r>
            <w:proofErr w:type="spellStart"/>
            <w:r w:rsidRPr="001B31FA">
              <w:rPr>
                <w:rFonts w:ascii="Arial" w:hAnsi="Arial" w:cs="Arial"/>
                <w:color w:val="000000" w:themeColor="text1"/>
                <w:sz w:val="24"/>
                <w:szCs w:val="24"/>
              </w:rPr>
              <w:t>source</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A4F17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Model open </w:t>
            </w:r>
            <w:proofErr w:type="spellStart"/>
            <w:r w:rsidRPr="001B31FA">
              <w:rPr>
                <w:rFonts w:ascii="Arial" w:hAnsi="Arial" w:cs="Arial"/>
                <w:color w:val="000000" w:themeColor="text1"/>
                <w:sz w:val="24"/>
                <w:szCs w:val="24"/>
              </w:rPr>
              <w:t>source</w:t>
            </w:r>
            <w:proofErr w:type="spellEnd"/>
            <w:r w:rsidRPr="001B31FA">
              <w:rPr>
                <w:rFonts w:ascii="Arial" w:hAnsi="Arial" w:cs="Arial"/>
                <w:color w:val="000000" w:themeColor="text1"/>
                <w:sz w:val="24"/>
                <w:szCs w:val="24"/>
              </w:rPr>
              <w:t xml:space="preserve"> vs. </w:t>
            </w:r>
            <w:proofErr w:type="spellStart"/>
            <w:r w:rsidRPr="001B31FA">
              <w:rPr>
                <w:rFonts w:ascii="Arial" w:hAnsi="Arial" w:cs="Arial"/>
                <w:color w:val="000000" w:themeColor="text1"/>
                <w:sz w:val="24"/>
                <w:szCs w:val="24"/>
              </w:rPr>
              <w:t>closed</w:t>
            </w:r>
            <w:proofErr w:type="spellEnd"/>
            <w:r w:rsidRPr="001B31FA">
              <w:rPr>
                <w:rFonts w:ascii="Arial" w:hAnsi="Arial" w:cs="Arial"/>
                <w:color w:val="000000" w:themeColor="text1"/>
                <w:sz w:val="24"/>
                <w:szCs w:val="24"/>
              </w:rPr>
              <w:t xml:space="preserve"> </w:t>
            </w:r>
            <w:proofErr w:type="spellStart"/>
            <w:r w:rsidRPr="001B31FA">
              <w:rPr>
                <w:rFonts w:ascii="Arial" w:hAnsi="Arial" w:cs="Arial"/>
                <w:color w:val="000000" w:themeColor="text1"/>
                <w:sz w:val="24"/>
                <w:szCs w:val="24"/>
              </w:rPr>
              <w:t>source</w:t>
            </w:r>
            <w:proofErr w:type="spellEnd"/>
            <w:r w:rsidRPr="001B31FA">
              <w:rPr>
                <w:rFonts w:ascii="Arial" w:hAnsi="Arial" w:cs="Arial"/>
                <w:color w:val="000000" w:themeColor="text1"/>
                <w:sz w:val="24"/>
                <w:szCs w:val="24"/>
              </w:rPr>
              <w:t xml:space="preserve"> wpływa na możliwość audytu, </w:t>
            </w:r>
            <w:r w:rsidRPr="001B31FA">
              <w:rPr>
                <w:rFonts w:ascii="Arial" w:hAnsi="Arial" w:cs="Arial"/>
                <w:color w:val="000000" w:themeColor="text1"/>
                <w:sz w:val="24"/>
                <w:szCs w:val="24"/>
              </w:rPr>
              <w:lastRenderedPageBreak/>
              <w:t>kontroli i oceny ryzyka przez organizację. Źródło: dokumentacja techniczna, licencja.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D01DE0"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16E453"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12E2F630"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E0366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43</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62934D6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0E4A2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w przypadku rozwoju wewnętrznego korzysta się z zasobów zewnętrznych (konsultanci, dane, infrastruktura)?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3FA82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Korzystanie z zasobów zewnętrznych (konsultanci, podwykonawcy) przy budowie AI wymaga weryfikacji pod kątem art. 28 ust. 2 i 4 RODO (dalsze powierzenie).</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231F9D"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808109"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F596C50"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0B409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44</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2B9C0B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2205F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wyznaczono właściciela biznesowego AI, osobę odpowiedzialną za </w:t>
            </w:r>
            <w:proofErr w:type="spellStart"/>
            <w:r w:rsidRPr="001B31FA">
              <w:rPr>
                <w:rFonts w:ascii="Arial" w:hAnsi="Arial" w:cs="Arial"/>
                <w:color w:val="000000" w:themeColor="text1"/>
                <w:sz w:val="24"/>
                <w:szCs w:val="24"/>
              </w:rPr>
              <w:t>compliance</w:t>
            </w:r>
            <w:proofErr w:type="spellEnd"/>
            <w:r w:rsidRPr="001B31FA">
              <w:rPr>
                <w:rFonts w:ascii="Arial" w:hAnsi="Arial" w:cs="Arial"/>
                <w:color w:val="000000" w:themeColor="text1"/>
                <w:sz w:val="24"/>
                <w:szCs w:val="24"/>
              </w:rPr>
              <w:t>, inspektora ochrony danych?</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4CA3E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Art. 24 RODO nakłada odpowiedzialność na administratora za zapewnienie zgodności. Art. 37–39 RODO określają wymogi dotyczące IOD. Źródło: struktura organizacyjna.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38014C"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96A589"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8C2C8D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49CEFF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45</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3AF75D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492E3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wyznaczono rolę odpowiedzialną za zarządzanie danymi (data </w:t>
            </w:r>
            <w:proofErr w:type="spellStart"/>
            <w:r w:rsidRPr="001B31FA">
              <w:rPr>
                <w:rFonts w:ascii="Arial" w:hAnsi="Arial" w:cs="Arial"/>
                <w:color w:val="000000" w:themeColor="text1"/>
                <w:sz w:val="24"/>
                <w:szCs w:val="24"/>
              </w:rPr>
              <w:t>governance</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7E13A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Wyznaczenie roli odpowiedzialnej za zarządzanie danymi (data </w:t>
            </w:r>
            <w:proofErr w:type="spellStart"/>
            <w:r w:rsidRPr="001B31FA">
              <w:rPr>
                <w:rFonts w:ascii="Arial" w:hAnsi="Arial" w:cs="Arial"/>
                <w:color w:val="000000" w:themeColor="text1"/>
                <w:sz w:val="24"/>
                <w:szCs w:val="24"/>
              </w:rPr>
              <w:t>governance</w:t>
            </w:r>
            <w:proofErr w:type="spellEnd"/>
            <w:r w:rsidRPr="001B31FA">
              <w:rPr>
                <w:rFonts w:ascii="Arial" w:hAnsi="Arial" w:cs="Arial"/>
                <w:color w:val="000000" w:themeColor="text1"/>
                <w:sz w:val="24"/>
                <w:szCs w:val="24"/>
              </w:rPr>
              <w:t xml:space="preserve">) może wzmocnić zapewnienie </w:t>
            </w:r>
            <w:r w:rsidRPr="001B31FA">
              <w:rPr>
                <w:rFonts w:ascii="Arial" w:hAnsi="Arial" w:cs="Arial"/>
                <w:color w:val="000000" w:themeColor="text1"/>
                <w:sz w:val="24"/>
                <w:szCs w:val="24"/>
              </w:rPr>
              <w:lastRenderedPageBreak/>
              <w:t>zgodności i realizację i zasad z art. 5 RODO, w tym rozliczalności (art. 5 ust. 2).</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C3A455"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844E75"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6E450FB4"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9F3D3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46</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EFB41E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1C81E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dostępne są wystarczające zasoby do zarządzania </w:t>
            </w:r>
            <w:proofErr w:type="spellStart"/>
            <w:r w:rsidRPr="001B31FA">
              <w:rPr>
                <w:rFonts w:ascii="Arial" w:hAnsi="Arial" w:cs="Arial"/>
                <w:color w:val="000000" w:themeColor="text1"/>
                <w:sz w:val="24"/>
                <w:szCs w:val="24"/>
              </w:rPr>
              <w:t>ryzykami</w:t>
            </w:r>
            <w:proofErr w:type="spellEnd"/>
            <w:r w:rsidRPr="001B31FA">
              <w:rPr>
                <w:rFonts w:ascii="Arial" w:hAnsi="Arial" w:cs="Arial"/>
                <w:color w:val="000000" w:themeColor="text1"/>
                <w:sz w:val="24"/>
                <w:szCs w:val="24"/>
              </w:rPr>
              <w:t xml:space="preserve"> AI? </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B14BB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Należy ocenić, czy dostępne zasoby ludzkie i materialne są wystarczające do spełnienia wymogów technicznych i zarządzania zidentyfikowanymi </w:t>
            </w:r>
            <w:proofErr w:type="spellStart"/>
            <w:r w:rsidRPr="001B31FA">
              <w:rPr>
                <w:rFonts w:ascii="Arial" w:hAnsi="Arial" w:cs="Arial"/>
                <w:color w:val="000000" w:themeColor="text1"/>
                <w:sz w:val="24"/>
                <w:szCs w:val="24"/>
              </w:rPr>
              <w:t>ryzykami</w:t>
            </w:r>
            <w:proofErr w:type="spellEnd"/>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B2BDE4"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2BAAD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9525050"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6A786F4A"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7. TRANSFER DANYCH I BEZPIECZEŃSTWO</w:t>
            </w:r>
          </w:p>
        </w:tc>
      </w:tr>
      <w:tr w:rsidR="005A1636" w:rsidRPr="001B31FA" w14:paraId="60650D67"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DFCC2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47</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05A7CBC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40B84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dane są przekazywane poza EOG (serwery, chmura, API dostawcy)?</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EA5DB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Art. 44 RODO ustanawia ogólną zasadę: przekazywanie danych do państw trzecich jest dopuszczalne wyłącznie przy zapewnieniu odpowiedniego poziomu ochrony.</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1A6B8F"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9D0F69"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CC608DA"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C015B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48</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70ECE0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02984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Jaka jest podstawa transferu: decyzja o </w:t>
            </w:r>
            <w:r w:rsidRPr="001B31FA">
              <w:rPr>
                <w:rFonts w:ascii="Arial" w:hAnsi="Arial" w:cs="Arial"/>
                <w:color w:val="000000" w:themeColor="text1"/>
                <w:sz w:val="24"/>
                <w:szCs w:val="24"/>
              </w:rPr>
              <w:lastRenderedPageBreak/>
              <w:t>adekwatności, SCC, BCR (art. 44–49)?</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984B9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Należy wskazać konkretny mechanizm </w:t>
            </w:r>
            <w:r w:rsidRPr="001B31FA">
              <w:rPr>
                <w:rFonts w:ascii="Arial" w:hAnsi="Arial" w:cs="Arial"/>
                <w:color w:val="000000" w:themeColor="text1"/>
                <w:sz w:val="24"/>
                <w:szCs w:val="24"/>
              </w:rPr>
              <w:lastRenderedPageBreak/>
              <w:t>legalizacji transferu: decyzja o adekwatności (art. 45), standardowe klauzule umowne (art. 46 ust. 2 lit. c), wiążące reguły korporacyjne (art. 47).</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997086"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7E77C9"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3ABF8BC"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4E5AD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49</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6CFF435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C84A8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przeprowadzono Transfer </w:t>
            </w:r>
            <w:proofErr w:type="spellStart"/>
            <w:r w:rsidRPr="001B31FA">
              <w:rPr>
                <w:rFonts w:ascii="Arial" w:hAnsi="Arial" w:cs="Arial"/>
                <w:color w:val="000000" w:themeColor="text1"/>
                <w:sz w:val="24"/>
                <w:szCs w:val="24"/>
              </w:rPr>
              <w:t>Impact</w:t>
            </w:r>
            <w:proofErr w:type="spellEnd"/>
            <w:r w:rsidRPr="001B31FA">
              <w:rPr>
                <w:rFonts w:ascii="Arial" w:hAnsi="Arial" w:cs="Arial"/>
                <w:color w:val="000000" w:themeColor="text1"/>
                <w:sz w:val="24"/>
                <w:szCs w:val="24"/>
              </w:rPr>
              <w:t xml:space="preserve"> </w:t>
            </w:r>
            <w:proofErr w:type="spellStart"/>
            <w:r w:rsidRPr="001B31FA">
              <w:rPr>
                <w:rFonts w:ascii="Arial" w:hAnsi="Arial" w:cs="Arial"/>
                <w:color w:val="000000" w:themeColor="text1"/>
                <w:sz w:val="24"/>
                <w:szCs w:val="24"/>
              </w:rPr>
              <w:t>Assessment</w:t>
            </w:r>
            <w:proofErr w:type="spellEnd"/>
            <w:r w:rsidRPr="001B31FA">
              <w:rPr>
                <w:rFonts w:ascii="Arial" w:hAnsi="Arial" w:cs="Arial"/>
                <w:color w:val="000000" w:themeColor="text1"/>
                <w:sz w:val="24"/>
                <w:szCs w:val="24"/>
              </w:rPr>
              <w:t xml:space="preserve"> (TIA)?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DF43A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W następstwie wyroku </w:t>
            </w:r>
            <w:proofErr w:type="spellStart"/>
            <w:r w:rsidRPr="001B31FA">
              <w:rPr>
                <w:rFonts w:ascii="Arial" w:hAnsi="Arial" w:cs="Arial"/>
                <w:color w:val="000000" w:themeColor="text1"/>
                <w:sz w:val="24"/>
                <w:szCs w:val="24"/>
              </w:rPr>
              <w:t>Schrems</w:t>
            </w:r>
            <w:proofErr w:type="spellEnd"/>
            <w:r w:rsidRPr="001B31FA">
              <w:rPr>
                <w:rFonts w:ascii="Arial" w:hAnsi="Arial" w:cs="Arial"/>
                <w:color w:val="000000" w:themeColor="text1"/>
                <w:sz w:val="24"/>
                <w:szCs w:val="24"/>
              </w:rPr>
              <w:t xml:space="preserve"> II wymagane jest przeprowadzenie oceny skutków transferu (TIA) dla transferów opartych na mechanizmach z art. 46 RODO w tym na standardowych klauzulach umownych. Źródło: dokumentacja dostawcy, TIA.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334320"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A2D40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6607B58"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72445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50</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65B4F48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14E17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wdrożono środki bezpieczeństwa specyficzne dla AI (art. 32): kontrola dostępu, szyfrowanie, monitoring, ochrona przed atakami? </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1A5B9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32 RODO wymaga wdrożenia środków bezpieczeństwa odpowiednich do zidentyfikowanych </w:t>
            </w:r>
            <w:proofErr w:type="spellStart"/>
            <w:r w:rsidRPr="001B31FA">
              <w:rPr>
                <w:rFonts w:ascii="Arial" w:hAnsi="Arial" w:cs="Arial"/>
                <w:color w:val="000000" w:themeColor="text1"/>
                <w:sz w:val="24"/>
                <w:szCs w:val="24"/>
              </w:rPr>
              <w:t>ryzyk</w:t>
            </w:r>
            <w:proofErr w:type="spellEnd"/>
            <w:r w:rsidRPr="001B31FA">
              <w:rPr>
                <w:rFonts w:ascii="Arial" w:hAnsi="Arial" w:cs="Arial"/>
                <w:color w:val="000000" w:themeColor="text1"/>
                <w:sz w:val="24"/>
                <w:szCs w:val="24"/>
              </w:rPr>
              <w:t xml:space="preserve">. Należy uwzględnić </w:t>
            </w:r>
            <w:r w:rsidRPr="001B31FA">
              <w:rPr>
                <w:rFonts w:ascii="Arial" w:hAnsi="Arial" w:cs="Arial"/>
                <w:color w:val="000000" w:themeColor="text1"/>
                <w:sz w:val="24"/>
                <w:szCs w:val="24"/>
              </w:rPr>
              <w:lastRenderedPageBreak/>
              <w:t>aktualny stan wiedzy technicznej (</w:t>
            </w:r>
            <w:proofErr w:type="spellStart"/>
            <w:r w:rsidRPr="001B31FA">
              <w:rPr>
                <w:rFonts w:ascii="Arial" w:hAnsi="Arial" w:cs="Arial"/>
                <w:color w:val="000000" w:themeColor="text1"/>
                <w:sz w:val="24"/>
                <w:szCs w:val="24"/>
              </w:rPr>
              <w:t>state</w:t>
            </w:r>
            <w:proofErr w:type="spellEnd"/>
            <w:r w:rsidRPr="001B31FA">
              <w:rPr>
                <w:rFonts w:ascii="Arial" w:hAnsi="Arial" w:cs="Arial"/>
                <w:color w:val="000000" w:themeColor="text1"/>
                <w:sz w:val="24"/>
                <w:szCs w:val="24"/>
              </w:rPr>
              <w:t xml:space="preserve"> of the art).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385CAA"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47B10F"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C6CD078"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68B23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51</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189BA4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BB142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określono procedury zgłaszania naruszeń związanych z AI (art. 33–34)?</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01BD8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Art. 33–34 RODO wymagają określenia procedur zgłaszania naruszeń ochrony danych organowi nadzorczemu (72 h) i osobom, których dane dotyczą.</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4D1442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307107"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6B003DC5"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6586448A"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8. PRAWA OSÓB I TRANSPARENTNOŚĆ</w:t>
            </w:r>
          </w:p>
        </w:tc>
      </w:tr>
      <w:tr w:rsidR="005A1636" w:rsidRPr="001B31FA" w14:paraId="230C2A41"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4E8E0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52</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77AB65E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71341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zaktualizowano klauzule informacyjne o informację o AI (art. 13 ust. 2 lit. f / art. 14 ust. 2 lit. g)? Informacja powinna dotyczyć również użytkowników systemu, w interakcjach z którym mogą pojawić się wrażliwe treści (np. dane szczególnych </w:t>
            </w:r>
            <w:r w:rsidRPr="001B31FA">
              <w:rPr>
                <w:rFonts w:ascii="Arial" w:hAnsi="Arial" w:cs="Arial"/>
                <w:color w:val="000000" w:themeColor="text1"/>
                <w:sz w:val="24"/>
                <w:szCs w:val="24"/>
              </w:rPr>
              <w:lastRenderedPageBreak/>
              <w:t>kategorii w konwersacji z modelem).</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E78FB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Art. 13 ust. 2 lit. f i art. 14 ust. 2 lit. g RODO wymagają poinformowania o zautomatyzowanym podejmowaniu decyzji, w tym profilowaniu, i istotnych informacjach o logice przetwarzania.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8094DA"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DB4C55"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FABCA31"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BDBD2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53</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1E0D79B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02924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zapewniono realizację: prawa dostępu (art. 15), sprostowania (art. 16), usunięcia (art. 17)?</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B2AE3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Organizacja musi zapewnić techniczną i organizacyjną możliwość realizacji praw: dostępu (art. 15), sprostowania (art. 16), usunięcia (art. 17) w kontekście systemu AI.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D280ED"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A8AAC3"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8FA3B3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78867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54</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66CC52F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96F4F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zapewniono: prawo do ograniczenia przetwarzania (art. 18) i przenoszenia danych (art. 20)?</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3F920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Prawo do ograniczenia przetwarzania (art. 18 RODO) i przenoszenia danych (art. 20 RODO) mogą wymagać szczególnych rozwiązań technicznych w systemach AI.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D1CD2A"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B8AE0E"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A9F1D1B"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BE3E4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55</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1768752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630B9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zapewniono prawo do sprzeciwu (art. 21) wobec przetwarzania przez AI?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C0A96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Prawo do sprzeciwu (art. 21 RODO) może dotyczyć przetwarzania opartego na prawnie uzasadnionym interesie (art. 6 ust. 1 lit. f) lub </w:t>
            </w:r>
            <w:r w:rsidRPr="001B31FA">
              <w:rPr>
                <w:rFonts w:ascii="Arial" w:hAnsi="Arial" w:cs="Arial"/>
                <w:color w:val="000000" w:themeColor="text1"/>
                <w:sz w:val="24"/>
                <w:szCs w:val="24"/>
              </w:rPr>
              <w:lastRenderedPageBreak/>
              <w:t>przetwarzania do celów marketingowych.</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3080F5"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D0000F"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B97365A"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2C96F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56</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AA8227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3F644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zapewniono prawo do niepodlegania decyzjom automatycznym (art. 22) i interwencji ludzkiej (art. 22 ust. 3)?</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F60BD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Art. 22 RODO wymaga zapewnienia: prawa do uzyskania interwencji ludzkiej, wyrażenia stanowiska i zakwestionowania decyzji. Wymaga to realnych, a nie formalnych mechanizmów.</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305B05"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209F98"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6D2F4F9"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0CF40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57</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02F9DE5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D3CC3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organizacja potrafi wyjaśnić działanie AI w sposób zrozumiały?</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4DD8D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Art. 12 ust. 1 RODO wymaga, by informacje o przetwarzaniu były przekazywane jasnym i prostym językiem. Dotyczy to również wyjaśniania działania AI.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8544F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B397CB"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59F64C39"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0CF76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58</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0A7D244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E5B88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wpływ systemu będzie sprawiedliwy wobec różnych grup?</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E4A26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Należy ocenić, na ile skutki systemu będą sprawiedliwe wobec różnych grup osób, których dotyczą. Relewantne dla motywu </w:t>
            </w:r>
            <w:r w:rsidRPr="001B31FA">
              <w:rPr>
                <w:rFonts w:ascii="Arial" w:hAnsi="Arial" w:cs="Arial"/>
                <w:color w:val="000000" w:themeColor="text1"/>
                <w:sz w:val="24"/>
                <w:szCs w:val="24"/>
              </w:rPr>
              <w:lastRenderedPageBreak/>
              <w:t>71 RODO (niedyskryminacja).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372C6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AF1CF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4FBA98CD"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58D71E84"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9. OCENA SKUTKÓW I DOKUMENTACJA</w:t>
            </w:r>
          </w:p>
        </w:tc>
      </w:tr>
      <w:tr w:rsidR="005A1636" w:rsidRPr="001B31FA" w14:paraId="6078D7AE"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84CB1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59</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56EEF71" w14:textId="77777777" w:rsidR="005A1636" w:rsidRPr="001B31FA" w:rsidRDefault="005A1636" w:rsidP="002B4C9B">
            <w:pPr>
              <w:spacing w:after="40"/>
              <w:ind w:left="-8" w:firstLine="8"/>
              <w:rPr>
                <w:rFonts w:ascii="Arial" w:hAnsi="Arial" w:cs="Arial"/>
                <w:b/>
                <w:bCs/>
                <w:color w:val="000000" w:themeColor="text1"/>
                <w:sz w:val="24"/>
                <w:szCs w:val="24"/>
              </w:rPr>
            </w:pPr>
            <w:r w:rsidRPr="001B31FA">
              <w:rPr>
                <w:rFonts w:ascii="Arial" w:hAnsi="Arial" w:cs="Arial"/>
                <w:b/>
                <w:bCs/>
                <w:color w:val="000000" w:themeColor="text1"/>
                <w:sz w:val="24"/>
                <w:szCs w:val="24"/>
              </w:rPr>
              <w:t>Z</w:t>
            </w:r>
          </w:p>
          <w:p w14:paraId="7BE4989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BED13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spełnione są przesłanki z art. 35 ust. 1 lub 3 lub Wykazu PUODO?  A jeśli tak to czy przeprowadzono DPIA (art. 35)? </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6C13D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Niezbędna jest analiza konieczności przeprowadzenia DPIA (analiza z </w:t>
            </w:r>
            <w:proofErr w:type="spellStart"/>
            <w:r w:rsidRPr="001B31FA">
              <w:rPr>
                <w:rFonts w:ascii="Arial" w:hAnsi="Arial" w:cs="Arial"/>
                <w:color w:val="000000" w:themeColor="text1"/>
                <w:sz w:val="24"/>
                <w:szCs w:val="24"/>
              </w:rPr>
              <w:t>perpektywy</w:t>
            </w:r>
            <w:proofErr w:type="spellEnd"/>
            <w:r w:rsidRPr="001B31FA">
              <w:rPr>
                <w:rFonts w:ascii="Arial" w:hAnsi="Arial" w:cs="Arial"/>
                <w:color w:val="000000" w:themeColor="text1"/>
                <w:sz w:val="24"/>
                <w:szCs w:val="24"/>
              </w:rPr>
              <w:t xml:space="preserve"> art. 35 RODO), W tym</w:t>
            </w:r>
            <w:r w:rsidRPr="001B31FA">
              <w:rPr>
                <w:rFonts w:ascii="Arial" w:hAnsi="Arial" w:cs="Arial"/>
                <w:b/>
                <w:bCs/>
                <w:color w:val="000000" w:themeColor="text1"/>
                <w:sz w:val="24"/>
                <w:szCs w:val="24"/>
              </w:rPr>
              <w:t xml:space="preserve"> kontekście </w:t>
            </w:r>
            <w:r w:rsidRPr="001B31FA">
              <w:rPr>
                <w:rFonts w:ascii="Arial" w:hAnsi="Arial" w:cs="Arial"/>
                <w:color w:val="000000" w:themeColor="text1"/>
                <w:sz w:val="24"/>
                <w:szCs w:val="24"/>
              </w:rPr>
              <w:t>istotne będzie również ustalenie czy zidentyfikowano konkretne procesy, w których narzędzie będzie wykorzystywane? Nie wystarczy ogólna ocena narzędzia – konieczna jest ocena na poziomie poszczególnych procesów.</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425DDF"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181F62"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F3D350A"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F7095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60</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E2D8A3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1B803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oceniono ryzyka specyficzne dla AI: błędne decyzje, dyskryminacja, uprzedzenia, naruszenie </w:t>
            </w:r>
            <w:r w:rsidRPr="001B31FA">
              <w:rPr>
                <w:rFonts w:ascii="Arial" w:hAnsi="Arial" w:cs="Arial"/>
                <w:color w:val="000000" w:themeColor="text1"/>
                <w:sz w:val="24"/>
                <w:szCs w:val="24"/>
              </w:rPr>
              <w:lastRenderedPageBreak/>
              <w:t>prywatności, ryzyka dla człowieka?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12DF4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Ocena ryzyka powinna uwzględniać ryzyka specyficzne dla AI: błędne decyzje, dyskryminacja </w:t>
            </w:r>
            <w:r w:rsidRPr="001B31FA">
              <w:rPr>
                <w:rFonts w:ascii="Arial" w:hAnsi="Arial" w:cs="Arial"/>
                <w:color w:val="000000" w:themeColor="text1"/>
                <w:sz w:val="24"/>
                <w:szCs w:val="24"/>
              </w:rPr>
              <w:lastRenderedPageBreak/>
              <w:t xml:space="preserve">algorytmiczna, uprzedzenia w danych, brak </w:t>
            </w:r>
            <w:proofErr w:type="spellStart"/>
            <w:r w:rsidRPr="001B31FA">
              <w:rPr>
                <w:rFonts w:ascii="Arial" w:hAnsi="Arial" w:cs="Arial"/>
                <w:color w:val="000000" w:themeColor="text1"/>
                <w:sz w:val="24"/>
                <w:szCs w:val="24"/>
              </w:rPr>
              <w:t>wyjaśnialności</w:t>
            </w:r>
            <w:proofErr w:type="spellEnd"/>
            <w:r w:rsidRPr="001B31FA">
              <w:rPr>
                <w:rFonts w:ascii="Arial" w:hAnsi="Arial" w:cs="Arial"/>
                <w:color w:val="000000" w:themeColor="text1"/>
                <w:sz w:val="24"/>
                <w:szCs w:val="24"/>
              </w:rPr>
              <w:t xml:space="preserve">, model </w:t>
            </w:r>
            <w:proofErr w:type="spellStart"/>
            <w:r w:rsidRPr="001B31FA">
              <w:rPr>
                <w:rFonts w:ascii="Arial" w:hAnsi="Arial" w:cs="Arial"/>
                <w:color w:val="000000" w:themeColor="text1"/>
                <w:sz w:val="24"/>
                <w:szCs w:val="24"/>
              </w:rPr>
              <w:t>drift</w:t>
            </w:r>
            <w:proofErr w:type="spellEnd"/>
            <w:r w:rsidRPr="001B31FA">
              <w:rPr>
                <w:rFonts w:ascii="Arial" w:hAnsi="Arial" w:cs="Arial"/>
                <w:color w:val="000000" w:themeColor="text1"/>
                <w:sz w:val="24"/>
                <w:szCs w:val="24"/>
              </w:rPr>
              <w:t>.</w:t>
            </w:r>
          </w:p>
          <w:p w14:paraId="750D6995" w14:textId="77777777" w:rsidR="005A1636" w:rsidRPr="001B31FA" w:rsidRDefault="005A1636" w:rsidP="002B4C9B">
            <w:pPr>
              <w:spacing w:after="40"/>
              <w:ind w:left="-8" w:firstLine="8"/>
              <w:rPr>
                <w:rFonts w:ascii="Arial" w:hAnsi="Arial" w:cs="Arial"/>
                <w:color w:val="000000" w:themeColor="text1"/>
                <w:sz w:val="24"/>
                <w:szCs w:val="24"/>
              </w:rPr>
            </w:pP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986674"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9F2437"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2925CD3"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28790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61</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DB8DF4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5BAFA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ocena ryzyka uwzględnia specyfikę typu modelu AI, jego komponentów i zasobów?</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6E0D8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Ocena ryzyka powinna uwzględniać specyfikę typu modelu AI, jego komponentów i zasobów zewnętrznych. Źródło: dokumentacja techniczna, audyt bezpieczeństwa.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09E40F"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7F0292"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1BE478D3"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FFF6E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62</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DB0A7B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1E9ADA"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zidentyfikowano procesy, w których system AI będzie tworzony lub wykorzystywany, i czy zaktualizowano rejestr czynności przetwarzania (art. 30 RODO)?</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277DB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Inwentaryzacja procesów, w których AI jest tworzona lub wykorzystywana, jest warunkiem prawidłowej aktualizacji RCP. Rejestr powinien obejmować: cel przetwarzania w kontekście AI, kategorie danych i osób, odbiorców, okresy retencji oraz środki </w:t>
            </w:r>
            <w:r w:rsidRPr="001B31FA">
              <w:rPr>
                <w:rFonts w:ascii="Arial" w:hAnsi="Arial" w:cs="Arial"/>
                <w:color w:val="000000" w:themeColor="text1"/>
                <w:sz w:val="24"/>
                <w:szCs w:val="24"/>
              </w:rPr>
              <w:lastRenderedPageBreak/>
              <w:t>bezpieczeństwa. Źródło: dokumentacja projektowa, rejestr czynności przetwarzania.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0E3A6F"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E47836"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A029A14"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FBFBE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rPr>
              <w:t>63</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BFB0703"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48C5D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przewidziano monitorowanie systemu po wdrożeniu: kontrolę jakości wyników, wykrywanie dryfu modelu, rejestrowanie zdarzeń oraz ponowną ocenę ryzyka i oceny skutków przy istotnej zmianie systemu, danych lub kontekstu użycia?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DBD64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Ocena skutków podlega przeglądowi, gdy zmienia się ryzyko związane z przetwarzaniem (art. 35 ust. 11 RODO). W systemach AI zmianę taką powoduje aktualizacja modelu po stronie dostawcy, zmiana zakresu danych wejściowych albo nowe zastosowanie systemu. Źródło: plan przeglądów, rejestr zmian, raporty monitorowania.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B91D1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9DE261"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2845901"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20DDA80A"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10. SYGNALIZACJA DOTYCZĄCA AI ACT</w:t>
            </w:r>
          </w:p>
        </w:tc>
      </w:tr>
      <w:tr w:rsidR="005A1636" w:rsidRPr="001B31FA" w14:paraId="5CDB71ED"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575F3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64</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64EDAC4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F823E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system może być klasyfikowany jako system wysokiego ryzyka </w:t>
            </w:r>
            <w:r w:rsidRPr="001B31FA">
              <w:rPr>
                <w:rFonts w:ascii="Arial" w:hAnsi="Arial" w:cs="Arial"/>
                <w:color w:val="000000" w:themeColor="text1"/>
                <w:sz w:val="24"/>
                <w:szCs w:val="24"/>
              </w:rPr>
              <w:lastRenderedPageBreak/>
              <w:t xml:space="preserve">(art. 6, Załącznik I </w:t>
            </w:r>
            <w:proofErr w:type="spellStart"/>
            <w:r w:rsidRPr="001B31FA">
              <w:rPr>
                <w:rFonts w:ascii="Arial" w:hAnsi="Arial" w:cs="Arial"/>
                <w:color w:val="000000" w:themeColor="text1"/>
                <w:sz w:val="24"/>
                <w:szCs w:val="24"/>
              </w:rPr>
              <w:t>i</w:t>
            </w:r>
            <w:proofErr w:type="spellEnd"/>
            <w:r w:rsidRPr="001B31FA">
              <w:rPr>
                <w:rFonts w:ascii="Arial" w:hAnsi="Arial" w:cs="Arial"/>
                <w:color w:val="000000" w:themeColor="text1"/>
                <w:sz w:val="24"/>
                <w:szCs w:val="24"/>
              </w:rPr>
              <w:t xml:space="preserve"> III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86EAA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Pytanie sygnalizacyjne: należy ocenić, czy system może być klasyfikowany jako </w:t>
            </w:r>
            <w:r w:rsidRPr="001B31FA">
              <w:rPr>
                <w:rFonts w:ascii="Arial" w:hAnsi="Arial" w:cs="Arial"/>
                <w:color w:val="000000" w:themeColor="text1"/>
                <w:sz w:val="24"/>
                <w:szCs w:val="24"/>
              </w:rPr>
              <w:lastRenderedPageBreak/>
              <w:t xml:space="preserve">system wysokiego ryzyka w rozumieniu art. 6 i Załącznika III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E5D5CD"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47E2FB"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44A99D0"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AE7A8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65</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659F2FF5"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FFBC9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wykorzystanie systemu sztucznej inteligencji nie będzie praktyką zakazaną w rozumieniu art. 5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F1FC7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5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zawiera listę zakazanych praktyk w zakresie AI.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6F2963"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9391BB"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53265C44"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FB831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66</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7E13B5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AD2EC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zidentyfikowana została rola organizacji z perspektywy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w szczególności jako dostawcy lub podmiotu stosującego oraz obowiązki z takiej kwalifikacji wynikające?</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E7488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3 pkt 4 i 8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definiują pojęcia dostawcy i podmiotu stosującego. Prawidłowa identyfikacja roli determinuje zakres obowiązków np. odnoszących się do dostawcy, w szczególności obowiązku zapewnienia zgodności systemów AI z wymogami dotyczącymi systemów wysokiego ryzyka, w tym w zakresie systemu zarządzania ryzykiem, odnoszących </w:t>
            </w:r>
            <w:r w:rsidRPr="001B31FA">
              <w:rPr>
                <w:rFonts w:ascii="Arial" w:hAnsi="Arial" w:cs="Arial"/>
                <w:color w:val="000000" w:themeColor="text1"/>
                <w:sz w:val="24"/>
                <w:szCs w:val="24"/>
              </w:rPr>
              <w:lastRenderedPageBreak/>
              <w:t xml:space="preserve">się do jakości danych i zarządzania nimi, dokumentacji i przejrzystości, czy odnoszących się do podmiotu stosującego, w tym wdrożenia środków zapewniających zgodność z </w:t>
            </w:r>
            <w:proofErr w:type="spellStart"/>
            <w:r w:rsidRPr="001B31FA">
              <w:rPr>
                <w:rFonts w:ascii="Arial" w:hAnsi="Arial" w:cs="Arial"/>
                <w:color w:val="000000" w:themeColor="text1"/>
                <w:sz w:val="24"/>
                <w:szCs w:val="24"/>
              </w:rPr>
              <w:t>instrucją</w:t>
            </w:r>
            <w:proofErr w:type="spellEnd"/>
            <w:r w:rsidRPr="001B31FA">
              <w:rPr>
                <w:rFonts w:ascii="Arial" w:hAnsi="Arial" w:cs="Arial"/>
                <w:color w:val="000000" w:themeColor="text1"/>
                <w:sz w:val="24"/>
                <w:szCs w:val="24"/>
              </w:rPr>
              <w:t xml:space="preserve"> obsługi, nadzoru, kompetencji, kontroli nad danymi wejściowymi, przeprowadzenia oceny </w:t>
            </w:r>
            <w:proofErr w:type="spellStart"/>
            <w:r w:rsidRPr="001B31FA">
              <w:rPr>
                <w:rFonts w:ascii="Arial" w:hAnsi="Arial" w:cs="Arial"/>
                <w:color w:val="000000" w:themeColor="text1"/>
                <w:sz w:val="24"/>
                <w:szCs w:val="24"/>
              </w:rPr>
              <w:t>skutktów</w:t>
            </w:r>
            <w:proofErr w:type="spellEnd"/>
            <w:r w:rsidRPr="001B31FA">
              <w:rPr>
                <w:rFonts w:ascii="Arial" w:hAnsi="Arial" w:cs="Arial"/>
                <w:color w:val="000000" w:themeColor="text1"/>
                <w:sz w:val="24"/>
                <w:szCs w:val="24"/>
              </w:rPr>
              <w:t xml:space="preserve"> systemów dla praw podstawowych (FRIA).</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D72A08"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744275"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00969F3"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AE8DC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67</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20819C14"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4D791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wymagana jest ocena wpływu na prawa podstawowe (FRIA) – art. 27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2C5A2C"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27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wymaga przeprowadzenia oceny wpływu na prawa podstawowe (FRIA) przez podmioty stosujące systemy AI  wysokiego ryzyka, o których mowa w załączniki III do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z pewnymi </w:t>
            </w:r>
            <w:proofErr w:type="spellStart"/>
            <w:r w:rsidRPr="001B31FA">
              <w:rPr>
                <w:rFonts w:ascii="Arial" w:hAnsi="Arial" w:cs="Arial"/>
                <w:color w:val="000000" w:themeColor="text1"/>
                <w:sz w:val="24"/>
                <w:szCs w:val="24"/>
              </w:rPr>
              <w:t>wyjątkami,</w:t>
            </w:r>
            <w:r w:rsidRPr="001B31FA">
              <w:rPr>
                <w:rFonts w:ascii="Arial" w:hAnsi="Arial" w:cs="Arial"/>
                <w:color w:val="333333"/>
                <w:sz w:val="24"/>
                <w:szCs w:val="24"/>
                <w:shd w:val="clear" w:color="auto" w:fill="FFFFFF"/>
              </w:rPr>
              <w:t>będące</w:t>
            </w:r>
            <w:proofErr w:type="spellEnd"/>
            <w:r w:rsidRPr="001B31FA">
              <w:rPr>
                <w:rFonts w:ascii="Arial" w:hAnsi="Arial" w:cs="Arial"/>
                <w:color w:val="333333"/>
                <w:sz w:val="24"/>
                <w:szCs w:val="24"/>
                <w:shd w:val="clear" w:color="auto" w:fill="FFFFFF"/>
              </w:rPr>
              <w:t xml:space="preserve"> </w:t>
            </w:r>
            <w:r w:rsidRPr="001B31FA">
              <w:rPr>
                <w:rFonts w:ascii="Arial" w:hAnsi="Arial" w:cs="Arial"/>
                <w:color w:val="333333"/>
                <w:sz w:val="24"/>
                <w:szCs w:val="24"/>
                <w:shd w:val="clear" w:color="auto" w:fill="FFFFFF"/>
              </w:rPr>
              <w:lastRenderedPageBreak/>
              <w:t>podmiotami prawa publicznego lub podmiotami prywatnymi świadczącymi usługi publiczne oraz podmioty stosujące systemy AI wysokiego ryzyka, o których mowa w załączniku III pkt 5 lit. b) i c).</w:t>
            </w:r>
            <w:r w:rsidRPr="001B31FA">
              <w:rPr>
                <w:rFonts w:ascii="Arial" w:hAnsi="Arial" w:cs="Arial"/>
                <w:color w:val="000000" w:themeColor="text1"/>
                <w:sz w:val="24"/>
                <w:szCs w:val="24"/>
              </w:rPr>
              <w:t xml:space="preserve"> </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8C47DD"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ADC91E"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25838E49"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327841"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68</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0F3C1B86"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F8A93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dostawca udostępnia dokumentację wymaganą przez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(karta modelu, instrukcja użycia)?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806C0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13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wymaga udostępnienia dokumentacji technicznej i instrukcji użycia. Dostępność dokumentacji technicznej systemu AI od dostawcy jest warunkiem prawidłowej oceny ryzyka i zapewnienia zgodności z RODO i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BD72EE"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EEF03F"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31E041CC"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F6417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69</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7C3B305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BBB629"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podmiot stosujący zapoznał się z udostępnioną przez </w:t>
            </w:r>
            <w:r w:rsidRPr="001B31FA">
              <w:rPr>
                <w:rFonts w:ascii="Arial" w:hAnsi="Arial" w:cs="Arial"/>
                <w:color w:val="000000" w:themeColor="text1"/>
                <w:sz w:val="24"/>
                <w:szCs w:val="24"/>
              </w:rPr>
              <w:lastRenderedPageBreak/>
              <w:t xml:space="preserve">dostawcę dokumentacją wymaganą przez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(karta modelu, instrukcja użycia)?</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47E9F0"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Art. 26 ust. 1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p</w:t>
            </w:r>
            <w:r w:rsidRPr="001B31FA">
              <w:rPr>
                <w:rFonts w:ascii="Arial" w:hAnsi="Arial" w:cs="Arial"/>
                <w:color w:val="333333"/>
                <w:sz w:val="24"/>
                <w:szCs w:val="24"/>
                <w:shd w:val="clear" w:color="auto" w:fill="FFFFFF"/>
              </w:rPr>
              <w:t xml:space="preserve">odmioty stosujące systemy AI wysokiego </w:t>
            </w:r>
            <w:r w:rsidRPr="001B31FA">
              <w:rPr>
                <w:rFonts w:ascii="Arial" w:hAnsi="Arial" w:cs="Arial"/>
                <w:color w:val="333333"/>
                <w:sz w:val="24"/>
                <w:szCs w:val="24"/>
                <w:shd w:val="clear" w:color="auto" w:fill="FFFFFF"/>
              </w:rPr>
              <w:lastRenderedPageBreak/>
              <w:t xml:space="preserve">ryzyka wdrożyły odpowiednie środki techniczne i organizacyjne w celu zapewnienia, aby systemy takie były wykorzystywane zgodnie z dołączoną do nich instrukcją obsługi. </w:t>
            </w:r>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E641A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71769E"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58A3FC08"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49040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70</w:t>
            </w:r>
          </w:p>
        </w:tc>
        <w:tc>
          <w:tcPr>
            <w:tcW w:w="874"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232B6C7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Z [W]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EDADE2"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zapewniono wymogi transparentności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(art. 50 – systemy GPAI, </w:t>
            </w:r>
            <w:proofErr w:type="spellStart"/>
            <w:r w:rsidRPr="001B31FA">
              <w:rPr>
                <w:rFonts w:ascii="Arial" w:hAnsi="Arial" w:cs="Arial"/>
                <w:color w:val="000000" w:themeColor="text1"/>
                <w:sz w:val="24"/>
                <w:szCs w:val="24"/>
              </w:rPr>
              <w:t>chatboty</w:t>
            </w:r>
            <w:proofErr w:type="spellEnd"/>
            <w:r w:rsidRPr="001B31FA">
              <w:rPr>
                <w:rFonts w:ascii="Arial" w:hAnsi="Arial" w:cs="Arial"/>
                <w:color w:val="000000" w:themeColor="text1"/>
                <w:sz w:val="24"/>
                <w:szCs w:val="24"/>
              </w:rPr>
              <w:t xml:space="preserve">, </w:t>
            </w:r>
            <w:proofErr w:type="spellStart"/>
            <w:r w:rsidRPr="001B31FA">
              <w:rPr>
                <w:rFonts w:ascii="Arial" w:hAnsi="Arial" w:cs="Arial"/>
                <w:color w:val="000000" w:themeColor="text1"/>
                <w:sz w:val="24"/>
                <w:szCs w:val="24"/>
              </w:rPr>
              <w:t>deepfakes</w:t>
            </w:r>
            <w:proofErr w:type="spellEnd"/>
            <w:r w:rsidRPr="001B31FA">
              <w:rPr>
                <w:rFonts w:ascii="Arial" w:hAnsi="Arial" w:cs="Arial"/>
                <w:color w:val="000000" w:themeColor="text1"/>
                <w:sz w:val="24"/>
                <w:szCs w:val="24"/>
              </w:rPr>
              <w:t>)?</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34A9F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50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ustanawia wymogi transparentności: oznaczanie treści generowanych przez AI, informowanie o interakcji z </w:t>
            </w:r>
            <w:proofErr w:type="spellStart"/>
            <w:r w:rsidRPr="001B31FA">
              <w:rPr>
                <w:rFonts w:ascii="Arial" w:hAnsi="Arial" w:cs="Arial"/>
                <w:color w:val="000000" w:themeColor="text1"/>
                <w:sz w:val="24"/>
                <w:szCs w:val="24"/>
              </w:rPr>
              <w:t>chatbotem</w:t>
            </w:r>
            <w:proofErr w:type="spellEnd"/>
            <w:r w:rsidRPr="001B31FA">
              <w:rPr>
                <w:rFonts w:ascii="Arial" w:hAnsi="Arial" w:cs="Arial"/>
                <w:color w:val="000000" w:themeColor="text1"/>
                <w:sz w:val="24"/>
                <w:szCs w:val="24"/>
              </w:rPr>
              <w:t xml:space="preserve">, oznaczanie </w:t>
            </w:r>
            <w:proofErr w:type="spellStart"/>
            <w:r w:rsidRPr="001B31FA">
              <w:rPr>
                <w:rFonts w:ascii="Arial" w:hAnsi="Arial" w:cs="Arial"/>
                <w:color w:val="000000" w:themeColor="text1"/>
                <w:sz w:val="24"/>
                <w:szCs w:val="24"/>
              </w:rPr>
              <w:t>deepfakes</w:t>
            </w:r>
            <w:proofErr w:type="spellEnd"/>
            <w:r w:rsidRPr="001B31FA">
              <w:rPr>
                <w:rFonts w:ascii="Arial" w:hAnsi="Arial" w:cs="Arial"/>
                <w:color w:val="000000" w:themeColor="text1"/>
                <w:sz w:val="24"/>
                <w:szCs w:val="24"/>
              </w:rPr>
              <w:t>.</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695407"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C96E93"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32B06ADF" w14:textId="77777777" w:rsidTr="001B31FA">
        <w:tc>
          <w:tcPr>
            <w:tcW w:w="15168"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260897B3" w14:textId="77777777" w:rsidR="005A1636" w:rsidRPr="001B31FA" w:rsidRDefault="005A1636" w:rsidP="002B4C9B">
            <w:pPr>
              <w:ind w:left="-8" w:firstLine="8"/>
              <w:rPr>
                <w:rFonts w:ascii="Arial" w:hAnsi="Arial" w:cs="Arial"/>
                <w:color w:val="FFFFFF" w:themeColor="background1"/>
                <w:sz w:val="24"/>
                <w:szCs w:val="24"/>
              </w:rPr>
            </w:pPr>
            <w:r w:rsidRPr="001B31FA">
              <w:rPr>
                <w:rFonts w:ascii="Arial" w:hAnsi="Arial" w:cs="Arial"/>
                <w:b/>
                <w:bCs/>
                <w:color w:val="FFFFFF" w:themeColor="background1"/>
                <w:sz w:val="24"/>
                <w:szCs w:val="24"/>
              </w:rPr>
              <w:t>11. GOTOWOŚĆ ORGANIZACYJNA (ARE WE READY?)</w:t>
            </w:r>
          </w:p>
        </w:tc>
      </w:tr>
      <w:tr w:rsidR="005A1636" w:rsidRPr="001B31FA" w14:paraId="03F2BB95"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00B35F"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71</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6EE0C7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62147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organizacja posiada politykę AI i procedury reagowania na incydenty AI? Czy wdrożono mechanizmy wykrywania </w:t>
            </w:r>
            <w:r w:rsidRPr="001B31FA">
              <w:rPr>
                <w:rFonts w:ascii="Arial" w:hAnsi="Arial" w:cs="Arial"/>
                <w:color w:val="000000" w:themeColor="text1"/>
                <w:sz w:val="24"/>
                <w:szCs w:val="24"/>
              </w:rPr>
              <w:lastRenderedPageBreak/>
              <w:t>nieprawidłowości w działaniu systemu AI?</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B7F93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lastRenderedPageBreak/>
              <w:t xml:space="preserve">Organizacja powinna posiadać politykę AI oraz procedury reagowania na incydenty (art. 24 RODO). Źródło: polityka </w:t>
            </w:r>
            <w:r w:rsidRPr="001B31FA">
              <w:rPr>
                <w:rFonts w:ascii="Arial" w:hAnsi="Arial" w:cs="Arial"/>
                <w:color w:val="000000" w:themeColor="text1"/>
                <w:sz w:val="24"/>
                <w:szCs w:val="24"/>
              </w:rPr>
              <w:lastRenderedPageBreak/>
              <w:t>bezpieczeństwa, regulaminy wewnętrzne.</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E0809B"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B29B0A"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743EE5EC"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12FAA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72</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D26A2F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47F1AB"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Czy planowane jest szkolenie pracowników w zakresie bezpiecznego korzystania z AI? (AI LITERACY) </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0F0FA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 xml:space="preserve">Art. 4 AI </w:t>
            </w:r>
            <w:proofErr w:type="spellStart"/>
            <w:r w:rsidRPr="001B31FA">
              <w:rPr>
                <w:rFonts w:ascii="Arial" w:hAnsi="Arial" w:cs="Arial"/>
                <w:color w:val="000000" w:themeColor="text1"/>
                <w:sz w:val="24"/>
                <w:szCs w:val="24"/>
              </w:rPr>
              <w:t>Act</w:t>
            </w:r>
            <w:proofErr w:type="spellEnd"/>
            <w:r w:rsidRPr="001B31FA">
              <w:rPr>
                <w:rFonts w:ascii="Arial" w:hAnsi="Arial" w:cs="Arial"/>
                <w:color w:val="000000" w:themeColor="text1"/>
                <w:sz w:val="24"/>
                <w:szCs w:val="24"/>
              </w:rPr>
              <w:t xml:space="preserve"> (AI </w:t>
            </w:r>
            <w:proofErr w:type="spellStart"/>
            <w:r w:rsidRPr="001B31FA">
              <w:rPr>
                <w:rFonts w:ascii="Arial" w:hAnsi="Arial" w:cs="Arial"/>
                <w:color w:val="000000" w:themeColor="text1"/>
                <w:sz w:val="24"/>
                <w:szCs w:val="24"/>
              </w:rPr>
              <w:t>literacy</w:t>
            </w:r>
            <w:proofErr w:type="spellEnd"/>
            <w:r w:rsidRPr="001B31FA">
              <w:rPr>
                <w:rFonts w:ascii="Arial" w:hAnsi="Arial" w:cs="Arial"/>
                <w:color w:val="000000" w:themeColor="text1"/>
                <w:sz w:val="24"/>
                <w:szCs w:val="24"/>
              </w:rPr>
              <w:t>) i art. 39 RODO (zadania IOD) wymagają zapewnienia odpowiedniego poziomu wiedzy pracowników korzystających z systemów AI.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D84E0A"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369D57" w14:textId="77777777" w:rsidR="005A1636" w:rsidRPr="001B31FA" w:rsidRDefault="005A1636" w:rsidP="002B4C9B">
            <w:pPr>
              <w:ind w:left="-8" w:firstLine="8"/>
              <w:rPr>
                <w:rFonts w:ascii="Arial" w:hAnsi="Arial" w:cs="Arial"/>
                <w:color w:val="000000" w:themeColor="text1"/>
                <w:sz w:val="24"/>
                <w:szCs w:val="24"/>
              </w:rPr>
            </w:pPr>
          </w:p>
        </w:tc>
      </w:tr>
      <w:tr w:rsidR="005A1636" w:rsidRPr="001B31FA" w14:paraId="0F233F5B" w14:textId="77777777" w:rsidTr="001B31FA">
        <w:tc>
          <w:tcPr>
            <w:tcW w:w="54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078E57"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73</w:t>
            </w:r>
          </w:p>
        </w:tc>
        <w:tc>
          <w:tcPr>
            <w:tcW w:w="874"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8EC5FF8"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b/>
                <w:bCs/>
                <w:color w:val="000000" w:themeColor="text1"/>
                <w:sz w:val="24"/>
                <w:szCs w:val="24"/>
              </w:rPr>
              <w:t>P [T+W]</w:t>
            </w:r>
          </w:p>
        </w:tc>
        <w:tc>
          <w:tcPr>
            <w:tcW w:w="29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2A880E"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Czy określono procedury reagowania na incydenty związane z jakością danych?</w:t>
            </w:r>
          </w:p>
        </w:tc>
        <w:tc>
          <w:tcPr>
            <w:tcW w:w="29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B26E8D" w14:textId="77777777" w:rsidR="005A1636" w:rsidRPr="001B31FA" w:rsidRDefault="005A1636" w:rsidP="002B4C9B">
            <w:pPr>
              <w:spacing w:after="40"/>
              <w:ind w:left="-8" w:firstLine="8"/>
              <w:rPr>
                <w:rFonts w:ascii="Arial" w:hAnsi="Arial" w:cs="Arial"/>
                <w:color w:val="000000" w:themeColor="text1"/>
                <w:sz w:val="24"/>
                <w:szCs w:val="24"/>
              </w:rPr>
            </w:pPr>
            <w:r w:rsidRPr="001B31FA">
              <w:rPr>
                <w:rFonts w:ascii="Arial" w:hAnsi="Arial" w:cs="Arial"/>
                <w:color w:val="000000" w:themeColor="text1"/>
                <w:sz w:val="24"/>
                <w:szCs w:val="24"/>
              </w:rPr>
              <w:t>Należy określić procedury reagowania na incydenty związane z jakością danych (art. 5 ust. 1 lit. d RODO: zasada prawidłowości), w tym procedury korekty i ponownej walidacji.</w:t>
            </w:r>
          </w:p>
        </w:tc>
        <w:tc>
          <w:tcPr>
            <w:tcW w:w="28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4825E3" w14:textId="77777777" w:rsidR="005A1636" w:rsidRPr="001B31FA" w:rsidRDefault="005A1636" w:rsidP="002B4C9B">
            <w:pPr>
              <w:ind w:left="-8" w:firstLine="8"/>
              <w:rPr>
                <w:rFonts w:ascii="Arial" w:hAnsi="Arial" w:cs="Arial"/>
                <w:color w:val="000000" w:themeColor="text1"/>
                <w:sz w:val="24"/>
                <w:szCs w:val="24"/>
              </w:rPr>
            </w:pPr>
          </w:p>
        </w:tc>
        <w:tc>
          <w:tcPr>
            <w:tcW w:w="512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E24950" w14:textId="77777777" w:rsidR="005A1636" w:rsidRPr="001B31FA" w:rsidRDefault="005A1636" w:rsidP="002B4C9B">
            <w:pPr>
              <w:ind w:left="-8" w:firstLine="8"/>
              <w:rPr>
                <w:rFonts w:ascii="Arial" w:hAnsi="Arial" w:cs="Arial"/>
                <w:color w:val="000000" w:themeColor="text1"/>
                <w:sz w:val="24"/>
                <w:szCs w:val="24"/>
              </w:rPr>
            </w:pPr>
          </w:p>
        </w:tc>
      </w:tr>
    </w:tbl>
    <w:p w14:paraId="6664CAF1" w14:textId="77777777" w:rsidR="00207193" w:rsidRPr="001B31FA" w:rsidRDefault="00207193" w:rsidP="00207193">
      <w:pPr>
        <w:spacing w:after="120" w:line="360" w:lineRule="auto"/>
        <w:jc w:val="both"/>
        <w:rPr>
          <w:rFonts w:ascii="Arial" w:hAnsi="Arial" w:cs="Arial"/>
          <w:b/>
          <w:bCs/>
          <w:sz w:val="24"/>
          <w:szCs w:val="24"/>
        </w:rPr>
      </w:pPr>
    </w:p>
    <w:p w14:paraId="30BB9571" w14:textId="2760CBEC" w:rsidR="005A1636" w:rsidRPr="001B31FA" w:rsidRDefault="005A1636" w:rsidP="005A1636">
      <w:pPr>
        <w:spacing w:after="120" w:line="360" w:lineRule="auto"/>
        <w:jc w:val="both"/>
        <w:rPr>
          <w:rFonts w:ascii="Arial" w:hAnsi="Arial" w:cs="Arial"/>
          <w:sz w:val="24"/>
          <w:szCs w:val="24"/>
        </w:rPr>
      </w:pPr>
      <w:r w:rsidRPr="001B31FA">
        <w:rPr>
          <w:rFonts w:ascii="Arial" w:hAnsi="Arial" w:cs="Arial"/>
          <w:b/>
          <w:bCs/>
          <w:sz w:val="24"/>
          <w:szCs w:val="24"/>
        </w:rPr>
        <w:t xml:space="preserve">Legenda typów: </w:t>
      </w:r>
      <w:r w:rsidRPr="001B31FA">
        <w:rPr>
          <w:rFonts w:ascii="Arial" w:hAnsi="Arial" w:cs="Arial"/>
          <w:sz w:val="24"/>
          <w:szCs w:val="24"/>
        </w:rPr>
        <w:t>P = pytanie projektowe (dostarcza wiedzę), Z = pytanie o zgodność z RODO (weryfikuje wymóg), P/Z = pytanie łączące oba aspekty. Organizacje wdrażające gotowe systemy (bez trenowania) mogą pominąć pytania [T].</w:t>
      </w:r>
    </w:p>
    <w:p w14:paraId="02712A06" w14:textId="77777777" w:rsidR="003120B9" w:rsidRPr="001B31FA" w:rsidRDefault="003120B9">
      <w:pPr>
        <w:rPr>
          <w:rFonts w:ascii="Arial" w:hAnsi="Arial" w:cs="Arial"/>
        </w:rPr>
      </w:pPr>
    </w:p>
    <w:sectPr w:rsidR="003120B9" w:rsidRPr="001B31FA" w:rsidSect="008162F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3CF7" w14:textId="77777777" w:rsidR="00492263" w:rsidRDefault="00492263" w:rsidP="00492263">
      <w:pPr>
        <w:spacing w:after="0" w:line="240" w:lineRule="auto"/>
      </w:pPr>
      <w:r>
        <w:separator/>
      </w:r>
    </w:p>
  </w:endnote>
  <w:endnote w:type="continuationSeparator" w:id="0">
    <w:p w14:paraId="0005F07D" w14:textId="77777777" w:rsidR="00492263" w:rsidRDefault="00492263" w:rsidP="00492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95BB6" w14:textId="77777777" w:rsidR="00492263" w:rsidRDefault="00492263" w:rsidP="00492263">
      <w:pPr>
        <w:spacing w:after="0" w:line="240" w:lineRule="auto"/>
      </w:pPr>
      <w:r>
        <w:separator/>
      </w:r>
    </w:p>
  </w:footnote>
  <w:footnote w:type="continuationSeparator" w:id="0">
    <w:p w14:paraId="4AF27543" w14:textId="77777777" w:rsidR="00492263" w:rsidRDefault="00492263" w:rsidP="00492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15AF" w14:textId="383B41D3" w:rsidR="00492263" w:rsidRDefault="00492263" w:rsidP="00492263">
    <w:pPr>
      <w:pStyle w:val="Nagwek"/>
      <w:jc w:val="right"/>
    </w:pPr>
    <w:r>
      <w:rPr>
        <w:i/>
        <w:iCs/>
        <w:color w:val="999999"/>
        <w:sz w:val="16"/>
        <w:szCs w:val="16"/>
      </w:rPr>
      <w:t>Listy pytań inicjalnych – RODO &amp; AI | Podejście funkcjonalne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C6742"/>
    <w:multiLevelType w:val="hybridMultilevel"/>
    <w:tmpl w:val="7D36F8A4"/>
    <w:lvl w:ilvl="0" w:tplc="2D22EBF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F07891"/>
    <w:multiLevelType w:val="hybridMultilevel"/>
    <w:tmpl w:val="5940782C"/>
    <w:lvl w:ilvl="0" w:tplc="F1B2DF6A">
      <w:start w:val="1"/>
      <w:numFmt w:val="decimal"/>
      <w:lvlText w:val="%1."/>
      <w:lvlJc w:val="left"/>
      <w:pPr>
        <w:ind w:left="644" w:hanging="360"/>
      </w:pPr>
      <w:rPr>
        <w:rFonts w:hint="default"/>
        <w:b/>
        <w:i w:val="0"/>
        <w:color w:val="C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387A5B87"/>
    <w:multiLevelType w:val="hybridMultilevel"/>
    <w:tmpl w:val="AA88AAC0"/>
    <w:lvl w:ilvl="0" w:tplc="492692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224634"/>
    <w:multiLevelType w:val="hybridMultilevel"/>
    <w:tmpl w:val="E16A31C8"/>
    <w:lvl w:ilvl="0" w:tplc="F1B2DF6A">
      <w:start w:val="1"/>
      <w:numFmt w:val="decimal"/>
      <w:lvlText w:val="%1."/>
      <w:lvlJc w:val="left"/>
      <w:pPr>
        <w:ind w:left="1004" w:hanging="360"/>
      </w:pPr>
      <w:rPr>
        <w:rFonts w:hint="default"/>
        <w:b/>
        <w:i w:val="0"/>
        <w:color w:val="C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FAF4067"/>
    <w:multiLevelType w:val="hybridMultilevel"/>
    <w:tmpl w:val="D570C50A"/>
    <w:lvl w:ilvl="0" w:tplc="F1B2DF6A">
      <w:start w:val="1"/>
      <w:numFmt w:val="decimal"/>
      <w:lvlText w:val="%1."/>
      <w:lvlJc w:val="left"/>
      <w:pPr>
        <w:ind w:left="1004" w:hanging="360"/>
      </w:pPr>
      <w:rPr>
        <w:rFonts w:hint="default"/>
        <w:b/>
        <w:i w:val="0"/>
        <w:color w:val="C0000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7EBA04A1"/>
    <w:multiLevelType w:val="hybridMultilevel"/>
    <w:tmpl w:val="70A6F774"/>
    <w:lvl w:ilvl="0" w:tplc="F1B2DF6A">
      <w:start w:val="1"/>
      <w:numFmt w:val="decimal"/>
      <w:lvlText w:val="%1."/>
      <w:lvlJc w:val="left"/>
      <w:pPr>
        <w:ind w:left="1004" w:hanging="360"/>
      </w:pPr>
      <w:rPr>
        <w:rFonts w:hint="default"/>
        <w:b/>
        <w:i w:val="0"/>
        <w:color w:val="C0000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F4"/>
    <w:rsid w:val="000E7960"/>
    <w:rsid w:val="001B31FA"/>
    <w:rsid w:val="001E34EB"/>
    <w:rsid w:val="00207193"/>
    <w:rsid w:val="00255DFC"/>
    <w:rsid w:val="003120B9"/>
    <w:rsid w:val="0039430C"/>
    <w:rsid w:val="00492263"/>
    <w:rsid w:val="00571AC1"/>
    <w:rsid w:val="00583CEB"/>
    <w:rsid w:val="00590A38"/>
    <w:rsid w:val="005A1636"/>
    <w:rsid w:val="005F45D2"/>
    <w:rsid w:val="007D17ED"/>
    <w:rsid w:val="008162F4"/>
    <w:rsid w:val="00CA3041"/>
    <w:rsid w:val="00CB1E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FDADB"/>
  <w15:chartTrackingRefBased/>
  <w15:docId w15:val="{59B19F9D-66B3-438E-B332-F2616E68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link w:val="Nagwek1Znak"/>
    <w:uiPriority w:val="9"/>
    <w:qFormat/>
    <w:rsid w:val="008162F4"/>
    <w:pPr>
      <w:spacing w:before="360" w:after="200" w:line="240" w:lineRule="auto"/>
      <w:outlineLvl w:val="0"/>
    </w:pPr>
    <w:rPr>
      <w:rFonts w:ascii="Arial" w:eastAsia="Arial" w:hAnsi="Arial" w:cs="Arial"/>
      <w:b/>
      <w:bCs/>
      <w:color w:val="1B3A5C"/>
      <w:sz w:val="32"/>
      <w:szCs w:val="32"/>
      <w:lang w:eastAsia="pl-PL"/>
    </w:rPr>
  </w:style>
  <w:style w:type="paragraph" w:styleId="Nagwek2">
    <w:name w:val="heading 2"/>
    <w:basedOn w:val="Normalny"/>
    <w:next w:val="Normalny"/>
    <w:link w:val="Nagwek2Znak"/>
    <w:uiPriority w:val="9"/>
    <w:semiHidden/>
    <w:unhideWhenUsed/>
    <w:qFormat/>
    <w:rsid w:val="008162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qFormat/>
    <w:rsid w:val="008162F4"/>
    <w:pPr>
      <w:spacing w:after="0" w:line="240" w:lineRule="auto"/>
    </w:pPr>
    <w:rPr>
      <w:rFonts w:ascii="Arial" w:eastAsia="Arial" w:hAnsi="Arial" w:cs="Arial"/>
      <w:lang w:eastAsia="pl-PL"/>
    </w:rPr>
  </w:style>
  <w:style w:type="character" w:customStyle="1" w:styleId="Nagwek1Znak">
    <w:name w:val="Nagłówek 1 Znak"/>
    <w:basedOn w:val="Domylnaczcionkaakapitu"/>
    <w:link w:val="Nagwek1"/>
    <w:uiPriority w:val="9"/>
    <w:rsid w:val="008162F4"/>
    <w:rPr>
      <w:rFonts w:ascii="Arial" w:eastAsia="Arial" w:hAnsi="Arial" w:cs="Arial"/>
      <w:b/>
      <w:bCs/>
      <w:color w:val="1B3A5C"/>
      <w:sz w:val="32"/>
      <w:szCs w:val="32"/>
      <w:lang w:eastAsia="pl-PL"/>
    </w:rPr>
  </w:style>
  <w:style w:type="character" w:customStyle="1" w:styleId="Nagwek2Znak">
    <w:name w:val="Nagłówek 2 Znak"/>
    <w:basedOn w:val="Domylnaczcionkaakapitu"/>
    <w:link w:val="Nagwek2"/>
    <w:uiPriority w:val="9"/>
    <w:semiHidden/>
    <w:rsid w:val="008162F4"/>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4922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2263"/>
  </w:style>
  <w:style w:type="paragraph" w:styleId="Stopka">
    <w:name w:val="footer"/>
    <w:basedOn w:val="Normalny"/>
    <w:link w:val="StopkaZnak"/>
    <w:uiPriority w:val="99"/>
    <w:unhideWhenUsed/>
    <w:rsid w:val="004922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2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35</Pages>
  <Words>4527</Words>
  <Characters>27168</Characters>
  <Application>Microsoft Office Word</Application>
  <DocSecurity>0</DocSecurity>
  <Lines>226</Lines>
  <Paragraphs>63</Paragraphs>
  <ScaleCrop>false</ScaleCrop>
  <Company/>
  <LinksUpToDate>false</LinksUpToDate>
  <CharactersWithSpaces>31632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16</cp:revision>
  <dcterms:created xsi:type="dcterms:W3CDTF">2026-08-04T13:20:00Z</dcterms:created>
  <dcterms:modified xsi:type="dcterms:W3CDTF">2026-08-04T13:57:00Z</dcterms:modified>
</cp:coreProperties>
</file>